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8.xml"/>
  <Override ContentType="application/vnd.openxmlformats-officedocument.wordprocessingml.footer+xml" PartName="/word/footer9.xml"/>
  <Override ContentType="application/vnd.openxmlformats-officedocument.wordprocessingml.footer+xml" PartName="/word/footer10.xml"/>
  <Override ContentType="application/vnd.openxmlformats-officedocument.wordprocessingml.footer+xml" PartName="/word/footer11.xml"/>
  <Override ContentType="application/vnd.openxmlformats-officedocument.wordprocessingml.footer+xml" PartName="/word/footer12.xml"/>
  <Override ContentType="application/vnd.openxmlformats-officedocument.wordprocessingml.footer+xml" PartName="/word/footer13.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7160"/>
        <w:gridCol w:w="7160"/>
      </w:tblGrid>
      <w:tr>
        <w:trPr>
          <w:trHeight w:val="2500" w:hRule="atLeast"/>
        </w:trPr>
        <w:tc>
          <w:tcPr>
            <w:tcBorders>
              <w:top w:val="none" w:color="000000" w:sz="0"/>
              <w:left w:val="none" w:color="000000" w:sz="0"/>
              <w:bottom w:val="none" w:color="000000" w:sz="0"/>
              <w:right w:val="none" w:color="000000" w:sz="0"/>
            </w:tcBorders>
            <w:tcMar>
              <w:top w:type="dxa" w:w="0"/>
              <w:left w:type="dxa" w:w="0"/>
              <w:bottom w:type="dxa" w:w="0"/>
              <w:right w:type="dxa" w:w="0"/>
            </w:tcMar>
            <w:vAlign w:val="top"/>
          </w:tcPr>
          <w:p>
            <w:r>
              <w:drawing>
                <wp:inline distT="0" distB="0" distL="0" distR="0">
                  <wp:extent cx="2028825" cy="704850"/>
                  <wp:effectExtent t="0" r="0" b="0" l="0"/>
                  <wp:docPr id="1" name="Local Insight Logo" descr="This is the logo for Local Insight" title="Local Insigh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 cstate="none"/>
                          <a:srcRect/>
                          <a:stretch>
                            <a:fillRect/>
                          </a:stretch>
                        </pic:blipFill>
                        <pic:spPr bwMode="auto">
                          <a:xfrm>
                            <a:off x="0" y="0"/>
                            <a:ext cx="2028825" cy="704850"/>
                          </a:xfrm>
                          <a:prstGeom prst="rect">
                            <a:avLst/>
                          </a:prstGeom>
                        </pic:spPr>
                      </pic:pic>
                    </a:graphicData>
                  </a:graphic>
                </wp:inline>
              </w:drawing>
            </w:r>
          </w:p>
        </w:tc>
        <w:tc>
          <w:tcPr>
            <w:tcBorders>
              <w:top w:val="none" w:color="000000" w:sz="0"/>
              <w:left w:val="none" w:color="000000" w:sz="0"/>
              <w:bottom w:val="none" w:color="000000" w:sz="0"/>
              <w:right w:val="none" w:color="000000" w:sz="0"/>
            </w:tcBorders>
            <w:tcMar>
              <w:top w:type="dxa" w:w="0"/>
              <w:left w:type="dxa" w:w="0"/>
              <w:bottom w:type="dxa" w:w="0"/>
              <w:right w:type="dxa" w:w="0"/>
            </w:tcMar>
            <w:vAlign w:val="top"/>
          </w:tcPr>
          <w:p>
            <w:pPr>
              <w:jc w:val="right"/>
            </w:pPr>
            <w:r>
              <w:drawing>
                <wp:inline distT="0" distB="0" distL="0" distR="0">
                  <wp:extent cx="1924050" cy="771525"/>
                  <wp:effectExtent t="0" r="0" b="0" l="0"/>
                  <wp:docPr id="1" name="Company Logo" descr="This is the company logo for Oxford Consultants for Social Inclusion" title="Compan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 cstate="none"/>
                          <a:srcRect/>
                          <a:stretch>
                            <a:fillRect/>
                          </a:stretch>
                        </pic:blipFill>
                        <pic:spPr bwMode="auto">
                          <a:xfrm>
                            <a:off x="0" y="0"/>
                            <a:ext cx="1924050" cy="771525"/>
                          </a:xfrm>
                          <a:prstGeom prst="rect">
                            <a:avLst/>
                          </a:prstGeom>
                        </pic:spPr>
                      </pic:pic>
                    </a:graphicData>
                  </a:graphic>
                </wp:inline>
              </w:drawing>
            </w:r>
          </w:p>
        </w:tc>
      </w:tr>
      <w:tr>
        <w:trPr>
          <w:trHeight w:val="6000" w:hRule="atLeast"/>
        </w:trPr>
        <w:tc>
          <w:tcPr>
            <w:tcBorders>
              <w:top w:val="none" w:color="000000" w:sz="0"/>
              <w:left w:val="none" w:color="000000" w:sz="0"/>
              <w:bottom w:val="none" w:color="000000" w:sz="0"/>
              <w:right w:val="none" w:color="000000" w:sz="0"/>
            </w:tcBorders>
            <w:tcMar>
              <w:top w:type="dxa" w:w="0"/>
              <w:left w:type="dxa" w:w="0"/>
              <w:bottom w:type="dxa" w:w="0"/>
              <w:right w:type="dxa" w:w="0"/>
            </w:tcMar>
          </w:tcPr>
          <w:p>
            <w:pPr>
              <w:pStyle w:val="Title"/>
              <w:spacing w:before="1000" w:after="200"/>
            </w:pPr>
            <w:r>
              <w:t xml:space="preserve">Local Insight England Summary Report</w:t>
            </w:r>
          </w:p>
          <w:p>
            <w:pPr>
              <w:pStyle w:val="Heading1"/>
              <w:spacing w:before="200" w:after="200"/>
            </w:pPr>
            <w:r>
              <w:t xml:space="preserve">Hipperholme and Lightcliffe</w:t>
            </w:r>
          </w:p>
          <w:p>
            <w:pPr>
              <w:pStyle w:val="Heading2"/>
              <w:spacing w:before="200" w:after="200"/>
            </w:pPr>
            <w:r>
              <w:t xml:space="preserve">Created for Calderdale CF on 5 June 2026</w:t>
            </w:r>
          </w:p>
          <w:p>
            <w:pPr>
              <w:pStyle w:val="disclaimer"/>
              <w:spacing w:before="400" w:after="200"/>
            </w:pPr>
            <w:r>
              <w:t xml:space="preserve">Oxford Consultants for Social Inclusion Ltd. All rights reserved. Copyright ©2026. This report is provided for public benefit use only and must not be used for commercial purposes.</w:t>
            </w:r>
          </w:p>
        </w:tc>
        <w:tc>
          <w:tcPr>
            <w:tcBorders>
              <w:top w:val="none" w:color="000000" w:sz="0"/>
              <w:left w:val="none" w:color="000000" w:sz="0"/>
              <w:bottom w:val="none" w:color="000000" w:sz="0"/>
              <w:right w:val="none" w:color="000000" w:sz="0"/>
            </w:tcBorders>
            <w:tcMar>
              <w:top w:type="dxa" w:w="0"/>
              <w:left w:type="dxa" w:w="0"/>
              <w:bottom w:type="dxa" w:w="0"/>
              <w:right w:type="dxa" w:w="0"/>
            </w:tcMar>
          </w:tcPr>
          <w:p>
            <w:pPr>
              <w:jc w:val="right"/>
            </w:pPr>
            <w:r>
              <w:drawing>
                <wp:inline distT="0" distB="0" distL="0" distR="0">
                  <wp:extent cx="3581400" cy="3581400"/>
                  <wp:effectExtent t="0" r="0" b="0" l="0"/>
                  <wp:docPr id="1" name="Map for main comparator" descr="This is a picture of a map which displays the main comparator for this report" title="Map for main compa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 cstate="none"/>
                          <a:srcRect/>
                          <a:stretch>
                            <a:fillRect/>
                          </a:stretch>
                        </pic:blipFill>
                        <pic:spPr bwMode="auto">
                          <a:xfrm>
                            <a:off x="0" y="0"/>
                            <a:ext cx="3581400" cy="3581400"/>
                          </a:xfrm>
                          <a:prstGeom prst="rect">
                            <a:avLst/>
                          </a:prstGeom>
                        </pic:spPr>
                      </pic:pic>
                    </a:graphicData>
                  </a:graphic>
                </wp:inline>
              </w:drawing>
            </w:r>
          </w:p>
        </w:tc>
      </w:tr>
    </w:tbl>
    <w:p>
      <w:pPr>
        <w:sectPr>
          <w:footerReference w:type="default" r:id="rId6"/>
          <w:pgSz w:w="16838" w:h="11906" w:orient="landscape"/>
          <w:pgMar w:top="1270" w:right="1270" w:bottom="1270" w:left="1270" w:header="708" w:footer="708" w:gutter="0"/>
          <w:pgNumType/>
          <w:titlePg/>
          <w:docGrid w:linePitch="360"/>
        </w:sectPr>
      </w:pPr>
    </w:p>
    <w:p>
      <w:pPr>
        <w:pStyle w:val="bodyText"/>
        <w:spacing w:before="200" w:after="200"/>
      </w:pPr>
      <w:r>
        <w:t xml:space="preserve"/>
      </w:r>
      <w:r>
        <w:rPr>
          <w:rFonts w:ascii="nunito" w:cs="nunito" w:eastAsia="nunito" w:hAnsi="nunito"/>
          <w:b w:val="false"/>
          <w:bCs w:val="false"/>
          <w:i w:val="false"/>
          <w:iCs w:val="false"/>
          <w:color w:val="51627C"/>
          <w:sz w:val="32"/>
          <w:szCs w:val="32"/>
        </w:rPr>
        <w:t xml:space="preserve">This report was generated using Local Insight by Calderdale CF</w:t>
      </w:r>
      <w:r>
        <w:t xml:space="preserve"/>
      </w:r>
      <w:hyperlink w:history="1" r:id="rIdh6gdcfgwc_jb_ihc6lxwx">
        <w:r>
          <w:rPr>
            <w:rStyle w:val="Hyperlink"/>
          </w:rPr>
          <w:t xml:space="preserve"/>
        </w:r>
      </w:hyperlink>
      <w:r>
        <w:t xml:space="preserve"/>
      </w:r>
    </w:p>
    <w:p>
      <w:pPr>
        <w:pStyle w:val="bodyText"/>
        <w:spacing w:before="200" w:after="200"/>
      </w:pPr>
      <w:r>
        <w:t xml:space="preserve">This report was generated with</w:t>
      </w:r>
      <w:hyperlink w:history="1" r:id="rIdo2yvoor91dlegjyqxvzoy">
        <w:r>
          <w:rPr>
            <w:rStyle w:val="Hyperlink"/>
          </w:rPr>
          <w:t xml:space="preserve">Local Insight </w:t>
        </w:r>
      </w:hyperlink>
      <w:r>
        <w:t xml:space="preserve">the small-area data insight platform from OCSI.</w:t>
      </w:r>
    </w:p>
    <w:p>
      <w:pPr>
        <w:pStyle w:val="bodyText"/>
        <w:spacing w:before="200" w:after="200"/>
      </w:pPr>
      <w:r>
        <w:t xml:space="preserve">Local Insight provides instant access to the information you need for the neighbourhoods you care about. Explore up-to-date social and demographic data through intuitive maps, dashboards and reports.</w:t>
      </w:r>
      <w:hyperlink w:history="1" r:id="rIdvrnxsqvncacx0qfmma96w">
        <w:r>
          <w:rPr>
            <w:rStyle w:val="Hyperlink"/>
          </w:rPr>
          <w:t xml:space="preserve"/>
        </w:r>
      </w:hyperlink>
      <w:r>
        <w:t xml:space="preserve"/>
      </w:r>
    </w:p>
    <w:p>
      <w:pPr>
        <w:pStyle w:val="bodyText"/>
        <w:spacing w:before="200" w:after="200"/>
      </w:pPr>
      <w:r>
        <w:t xml:space="preserve">You can book a demo to receive a two-week free trial, and generate your own Local Insight report:</w:t>
      </w:r>
      <w:hyperlink w:history="1" r:id="rId0wxqbrd4vtiwinz48ppb8">
        <w:r>
          <w:rPr>
            <w:rStyle w:val="Hyperlink"/>
          </w:rPr>
          <w:t xml:space="preserve">https://localinsight.org/learn-more/book-a-demo/ </w:t>
        </w:r>
      </w:hyperlink>
      <w:r>
        <w:t xml:space="preserve"/>
      </w:r>
    </w:p>
    <w:p>
      <w:pPr>
        <w:pStyle w:val="bodyText"/>
        <w:spacing w:before="200" w:after="200"/>
      </w:pPr>
      <w:r>
        <w:t xml:space="preserve"> </w:t>
      </w:r>
    </w:p>
    <w:p>
      <w:pPr>
        <w:pStyle w:val="bodyText"/>
        <w:spacing w:before="200" w:after="200"/>
      </w:pPr>
      <w:r>
        <w:t xml:space="preserve"/>
      </w:r>
      <w:r>
        <w:rPr>
          <w:rFonts w:ascii="nunito" w:cs="nunito" w:eastAsia="nunito" w:hAnsi="nunito"/>
          <w:b w:val="false"/>
          <w:bCs w:val="false"/>
          <w:i w:val="false"/>
          <w:iCs w:val="false"/>
          <w:color w:val="51627C"/>
          <w:sz w:val="32"/>
          <w:szCs w:val="32"/>
        </w:rPr>
        <w:t xml:space="preserve">About OCSI</w:t>
      </w:r>
      <w:r>
        <w:t xml:space="preserve"/>
      </w:r>
      <w:hyperlink w:history="1" r:id="rId2qahsbhyzds_vvmspubux">
        <w:r>
          <w:rPr>
            <w:rStyle w:val="Hyperlink"/>
          </w:rPr>
          <w:t xml:space="preserve"/>
        </w:r>
      </w:hyperlink>
      <w:r>
        <w:t xml:space="preserve"/>
      </w:r>
    </w:p>
    <w:p>
      <w:pPr>
        <w:pStyle w:val="bodyText"/>
        <w:spacing w:before="200" w:after="200"/>
      </w:pPr>
      <w:r>
        <w:t xml:space="preserve">For over 20 years, OCSI has combined expertise in research and technology to support organisations working for social good to make evidence-based decisions. We have worked with more than 250 public and community sector organisations from local to international levels.</w:t>
      </w:r>
      <w:hyperlink w:history="1" r:id="rIdspmftenaq3dsmxaoexnpz">
        <w:r>
          <w:rPr>
            <w:rStyle w:val="Hyperlink"/>
          </w:rPr>
          <w:t xml:space="preserve"/>
        </w:r>
      </w:hyperlink>
      <w:r>
        <w:t xml:space="preserve"/>
      </w:r>
    </w:p>
    <w:p>
      <w:pPr>
        <w:pStyle w:val="bodyText"/>
        <w:spacing w:before="200" w:after="200"/>
      </w:pPr>
      <w:r>
        <w:t xml:space="preserve">Our research and services are based on unrivalled knowledge and use of place-based social, economic and demographic data. Find out more at:</w:t>
      </w:r>
      <w:hyperlink w:history="1" r:id="rIdlysaofiyossghtg820gkd">
        <w:r>
          <w:rPr>
            <w:rStyle w:val="Hyperlink"/>
          </w:rPr>
          <w:t xml:space="preserve">ocsi.uk </w:t>
        </w:r>
      </w:hyperlink>
      <w:r>
        <w:t xml:space="preserve"/>
      </w:r>
    </w:p>
    <w:p>
      <w:pPr>
        <w:pStyle w:val="bodyText"/>
        <w:spacing w:before="200" w:after="200"/>
      </w:pPr>
      <w:r>
        <w:t xml:space="preserve"> </w:t>
      </w:r>
    </w:p>
    <w:p>
      <w:pPr>
        <w:pStyle w:val="bodyText"/>
        <w:spacing w:before="200" w:after="200"/>
      </w:pPr>
      <w:r>
        <w:t xml:space="preserve"/>
      </w:r>
      <w:r>
        <w:rPr>
          <w:rFonts w:ascii="nunito" w:cs="nunito" w:eastAsia="nunito" w:hAnsi="nunito"/>
          <w:b w:val="false"/>
          <w:bCs w:val="false"/>
          <w:i w:val="false"/>
          <w:iCs w:val="false"/>
          <w:color w:val="51627C"/>
          <w:sz w:val="32"/>
          <w:szCs w:val="32"/>
        </w:rPr>
        <w:t xml:space="preserve">About the data</w:t>
      </w:r>
      <w:r>
        <w:t xml:space="preserve"/>
      </w:r>
      <w:hyperlink w:history="1" r:id="rIdox98wtd2xg2pyaieednlk">
        <w:r>
          <w:rPr>
            <w:rStyle w:val="Hyperlink"/>
          </w:rPr>
          <w:t xml:space="preserve"/>
        </w:r>
      </w:hyperlink>
      <w:r>
        <w:t xml:space="preserve"/>
      </w:r>
    </w:p>
    <w:p>
      <w:pPr>
        <w:pStyle w:val="bodyText"/>
        <w:spacing w:before="200" w:after="200"/>
      </w:pPr>
      <w:r>
        <w:t xml:space="preserve">OCSI keeps the platform’s data current and provides comprehensive metadata so you can be confident in the indicators you use.</w:t>
      </w:r>
      <w:hyperlink w:history="1" r:id="rIdzjbrnneidedfn1imedy8y">
        <w:r>
          <w:rPr>
            <w:rStyle w:val="Hyperlink"/>
          </w:rPr>
          <w:t xml:space="preserve"/>
        </w:r>
      </w:hyperlink>
      <w:r>
        <w:t xml:space="preserve"/>
      </w:r>
    </w:p>
    <w:p>
      <w:pPr>
        <w:pStyle w:val="bodyText"/>
        <w:spacing w:before="200" w:after="200"/>
      </w:pPr>
      <w:r>
        <w:t xml:space="preserve">Sourced from more than 50 government agencies and other reputable bodies, we identify key indicators relevant to local authorities, grantmakers and charities to include within this report and the Local Insight platform.</w:t>
      </w:r>
      <w:hyperlink w:history="1" r:id="rIdqadkisegpinqeyswlyzuc">
        <w:r>
          <w:rPr>
            <w:rStyle w:val="Hyperlink"/>
          </w:rPr>
          <w:t xml:space="preserve"/>
        </w:r>
      </w:hyperlink>
      <w:r>
        <w:t xml:space="preserve"/>
      </w:r>
    </w:p>
    <w:p>
      <w:pPr>
        <w:pStyle w:val="bodyText"/>
        <w:spacing w:before="200" w:after="200"/>
      </w:pPr>
      <w:r>
        <w:t xml:space="preserve">Subscribers can get in touch to discuss designing bespoke report themes with a member of the OCSI team:</w:t>
      </w:r>
      <w:hyperlink w:history="1" r:id="rIdmfddnkesjrkidesnw-mit">
        <w:r>
          <w:rPr>
            <w:rStyle w:val="Hyperlink"/>
          </w:rPr>
          <w:t xml:space="preserve">localinsight.org/bespoke-report-theme-interest/ </w:t>
        </w:r>
      </w:hyperlink>
      <w:r>
        <w:t xml:space="preserve"/>
      </w:r>
    </w:p>
    <w:p>
      <w:pPr>
        <w:pStyle w:val="bodyText"/>
        <w:spacing w:before="200" w:after="200"/>
      </w:pPr>
      <w:r>
        <w:t xml:space="preserve"> </w:t>
      </w:r>
    </w:p>
    <w:p>
      <w:pPr>
        <w:pStyle w:val="bodyText"/>
        <w:spacing w:before="200" w:after="200"/>
      </w:pPr>
      <w:r>
        <w:t xml:space="preserve"/>
      </w:r>
      <w:r>
        <w:rPr>
          <w:rFonts w:ascii="nunito" w:cs="nunito" w:eastAsia="nunito" w:hAnsi="nunito"/>
          <w:b w:val="false"/>
          <w:bCs w:val="false"/>
          <w:i w:val="false"/>
          <w:iCs w:val="false"/>
          <w:color w:val="51627C"/>
          <w:sz w:val="32"/>
          <w:szCs w:val="32"/>
        </w:rPr>
        <w:t xml:space="preserve">How we have identified the area of Hipperholme and Lightcliffe</w:t>
      </w:r>
      <w:r>
        <w:t xml:space="preserve"/>
      </w:r>
      <w:hyperlink w:history="1" r:id="rIdnyckqxl924corfrlktbix">
        <w:r>
          <w:rPr>
            <w:rStyle w:val="Hyperlink"/>
          </w:rPr>
          <w:t xml:space="preserve"/>
        </w:r>
      </w:hyperlink>
      <w:r>
        <w:t xml:space="preserve"/>
      </w:r>
    </w:p>
    <w:p>
      <w:pPr>
        <w:pStyle w:val="bodyText"/>
        <w:spacing w:before="200" w:after="200"/>
      </w:pPr>
      <w:r>
        <w:t xml:space="preserve">This report is based on the “Hipperholme and Lightcliffe” area, created by Calderdale CF. The map image of the area is shown at the beginning of this report. The map imagery is provided by Google, using boundary definitions published by the Office for National Statistics (ONS). Statistical and geographic data are sourced from the ONS and are used under the terms of the Open Government Licence v3.0. Contains Ordnance Survey data © Crown copyright and database right [2026].</w:t>
      </w:r>
      <w:hyperlink w:history="1" r:id="rIdryaypml1pdwdgkhnn9ce9">
        <w:r>
          <w:rPr>
            <w:rStyle w:val="Hyperlink"/>
          </w:rPr>
          <w:t xml:space="preserve"/>
        </w:r>
      </w:hyperlink>
      <w:r>
        <w:t xml:space="preserve"/>
      </w:r>
    </w:p>
    <w:p>
      <w:pPr>
        <w:pStyle w:val="bodyText"/>
        <w:spacing w:before="200" w:after="200"/>
      </w:pPr>
      <w:r>
        <w:t xml:space="preserve">Local Insight draws on data from a range of official sources. Where values are not available directly for the geographies used in this report, they are calculated using an ONS-aligned statistical aggregation and apportioning methodology</w:t>
      </w:r>
      <w:hyperlink w:history="1" r:id="rIdp9m0hxwbacjsz7k_ldlxs">
        <w:r>
          <w:rPr>
            <w:rStyle w:val="Hyperlink"/>
          </w:rPr>
          <w:t xml:space="preserve"/>
        </w:r>
      </w:hyperlink>
      <w:r>
        <w:t xml:space="preserve"/>
      </w:r>
    </w:p>
    <w:p>
      <w:pPr>
        <w:pStyle w:val="bodyText"/>
        <w:spacing w:before="200" w:after="200"/>
      </w:pPr>
      <w:r>
        <w:t xml:space="preserve">Alongside data for the “Hipperholme and Lightcliffe” area, we also display data for the selected comparator areas: Calderdale and Yorkshire and The Humber.</w:t>
      </w:r>
      <w:hyperlink w:history="1" r:id="rId7ggfwcslrneibsgdchy2s">
        <w:r>
          <w:rPr>
            <w:rStyle w:val="Hyperlink"/>
          </w:rPr>
          <w:t xml:space="preserve"/>
        </w:r>
      </w:hyperlink>
      <w:r>
        <w:t xml:space="preserve"/>
      </w:r>
    </w:p>
    <w:p>
      <w:r>
        <w:br w:type="page"/>
      </w:r>
    </w:p>
    <w:p>
      <w:pPr>
        <w:pStyle w:val="Heading1"/>
        <w:spacing w:before="0" w:after="200"/>
      </w:pPr>
      <w:r>
        <w:t xml:space="preserve">At a glance</w:t>
      </w:r>
    </w:p>
    <w:p>
      <w:pPr>
        <w:pStyle w:val="bodyText"/>
        <w:spacing w:before="200" w:after="200"/>
      </w:pPr>
      <w:r>
        <w:t xml:space="preserve">A quick overview of key data in this Local Insight report for Hipperholme and Lightcliffe and how it compares to Calderdale and Yorkshire and The Humber.</w:t>
      </w:r>
      <w:hyperlink w:history="1" r:id="rIdqpywsdtauavyowvl98ob9">
        <w:r>
          <w:rPr>
            <w:rStyle w:val="Hyperlink"/>
          </w:rPr>
          <w:t xml:space="preserve"/>
        </w:r>
      </w:hyperlink>
      <w:r>
        <w:t xml:space="preserve"/>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7081"/>
        <w:gridCol w:w="158"/>
        <w:gridCol w:w="7081"/>
      </w:tblGrid>
      <w:tr>
        <w:trPr>
          <w:cantSplit/>
        </w:trPr>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account-group" descr="Headline statistic icon" title="Headline icon account-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Population</w:t>
                  </w:r>
                </w:p>
                <w:p>
                  <w:pPr>
                    <w:spacing w:before="0" w:after="80"/>
                  </w:pPr>
                  <w:r>
                    <w:rPr>
                      <w:rFonts w:ascii="nunito" w:cs="nunito" w:eastAsia="nunito" w:hAnsi="nunito"/>
                      <w:b/>
                      <w:bCs/>
                      <w:color w:val="25364D"/>
                      <w:sz w:val="28"/>
                      <w:szCs w:val="28"/>
                    </w:rPr>
                    <w:t xml:space="preserve">There are 11,727 people living in Hipperholme and Lightcliffe</w:t>
                  </w:r>
                </w:p>
                <w:p>
                  <w:pPr>
                    <w:spacing w:before="0" w:after="0"/>
                  </w:pPr>
                  <w:r>
                    <w:rPr>
                      <w:rFonts w:ascii="nunito" w:cs="nunito" w:eastAsia="nunito" w:hAnsi="nunito"/>
                      <w:color w:val="51627C"/>
                      <w:sz w:val="24"/>
                      <w:szCs w:val="24"/>
                    </w:rPr>
                    <w:t xml:space="preserve">This is smaller than the population of Calderdale (210,929) and smaller than the population of Yorkshire and The Humber (5,672,962)</w:t>
                  </w:r>
                </w:p>
              </w:tc>
            </w:tr>
          </w:tbl>
          <w:p/>
        </w:tc>
        <w:tc>
          <w:tcPr>
            <w:tcW w:type="dxa" w:w="158"/>
            <w:tcBorders>
              <w:top w:val="none" w:color="000000" w:sz="0"/>
              <w:left w:val="none" w:color="000000" w:sz="0"/>
              <w:bottom w:val="none" w:color="000000" w:sz="0"/>
              <w:right w:val="none" w:color="000000" w:sz="0"/>
            </w:tcBorders>
          </w:tcPr>
          <w:p/>
        </w:tc>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map-marker" descr="Headline statistic icon" title="Headline icon map-mar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Unemployment</w:t>
                  </w:r>
                </w:p>
                <w:p>
                  <w:pPr>
                    <w:spacing w:before="0" w:after="80"/>
                  </w:pPr>
                  <w:r>
                    <w:rPr>
                      <w:rFonts w:ascii="nunito" w:cs="nunito" w:eastAsia="nunito" w:hAnsi="nunito"/>
                      <w:b/>
                      <w:bCs/>
                      <w:color w:val="25364D"/>
                      <w:sz w:val="28"/>
                      <w:szCs w:val="28"/>
                    </w:rPr>
                    <w:t xml:space="preserve">2.19% of people in Hipperholme and Lightcliffe are receiving unemployment benefits</w:t>
                  </w:r>
                </w:p>
                <w:p>
                  <w:pPr>
                    <w:spacing w:before="0" w:after="0"/>
                  </w:pPr>
                  <w:r>
                    <w:rPr>
                      <w:rFonts w:ascii="nunito" w:cs="nunito" w:eastAsia="nunito" w:hAnsi="nunito"/>
                      <w:color w:val="51627C"/>
                      <w:sz w:val="24"/>
                      <w:szCs w:val="24"/>
                    </w:rPr>
                    <w:t xml:space="preserve">This is lower than the average across Calderdale (4.26%) and lower than the average across Yorkshire and The Humber (4.16%)</w:t>
                  </w:r>
                </w:p>
              </w:tc>
            </w:tr>
          </w:tbl>
          <w:p/>
        </w:tc>
      </w:tr>
      <w:tr>
        <w:trPr>
          <w:trHeight w:val="158" w:hRule="exact"/>
        </w:trPr>
        <w:tc>
          <w:tcPr>
            <w:tcW w:type="dxa" w:w="7081"/>
            <w:tcBorders>
              <w:top w:val="none" w:color="000000" w:sz="0"/>
              <w:left w:val="none" w:color="000000" w:sz="0"/>
              <w:bottom w:val="none" w:color="000000" w:sz="0"/>
              <w:right w:val="none" w:color="000000" w:sz="0"/>
            </w:tcBorders>
          </w:tcPr>
          <w:p/>
        </w:tc>
        <w:tc>
          <w:tcPr>
            <w:tcW w:type="dxa" w:w="158"/>
            <w:tcBorders>
              <w:top w:val="none" w:color="000000" w:sz="0"/>
              <w:left w:val="none" w:color="000000" w:sz="0"/>
              <w:bottom w:val="none" w:color="000000" w:sz="0"/>
              <w:right w:val="none" w:color="000000" w:sz="0"/>
            </w:tcBorders>
          </w:tcPr>
          <w:p/>
        </w:tc>
        <w:tc>
          <w:tcPr>
            <w:tcW w:type="dxa" w:w="7081"/>
            <w:tcBorders>
              <w:top w:val="none" w:color="000000" w:sz="0"/>
              <w:left w:val="none" w:color="000000" w:sz="0"/>
              <w:bottom w:val="none" w:color="000000" w:sz="0"/>
              <w:right w:val="none" w:color="000000" w:sz="0"/>
            </w:tcBorders>
          </w:tcPr>
          <w:p/>
        </w:tc>
      </w:tr>
      <w:tr>
        <w:trPr>
          <w:cantSplit/>
        </w:trPr>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home-city" descr="Headline statistic icon" title="Headline icon home-c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Housing</w:t>
                  </w:r>
                </w:p>
                <w:p>
                  <w:pPr>
                    <w:spacing w:before="0" w:after="80"/>
                  </w:pPr>
                  <w:r>
                    <w:rPr>
                      <w:rFonts w:ascii="nunito" w:cs="nunito" w:eastAsia="nunito" w:hAnsi="nunito"/>
                      <w:b/>
                      <w:bCs/>
                      <w:color w:val="25364D"/>
                      <w:sz w:val="28"/>
                      <w:szCs w:val="28"/>
                    </w:rPr>
                    <w:t xml:space="preserve">The average property price in Hipperholme and Lightcliffe is £270,699</w:t>
                  </w:r>
                </w:p>
                <w:p>
                  <w:pPr>
                    <w:spacing w:before="0" w:after="0"/>
                  </w:pPr>
                  <w:r>
                    <w:rPr>
                      <w:rFonts w:ascii="nunito" w:cs="nunito" w:eastAsia="nunito" w:hAnsi="nunito"/>
                      <w:color w:val="51627C"/>
                      <w:sz w:val="24"/>
                      <w:szCs w:val="24"/>
                    </w:rPr>
                    <w:t xml:space="preserve">This is higher than within Calderdale (£218,554) and higher than the average within Yorkshire and The Humber (£238,756)</w:t>
                  </w:r>
                </w:p>
              </w:tc>
            </w:tr>
          </w:tbl>
          <w:p/>
        </w:tc>
        <w:tc>
          <w:tcPr>
            <w:tcW w:type="dxa" w:w="158"/>
            <w:tcBorders>
              <w:top w:val="none" w:color="000000" w:sz="0"/>
              <w:left w:val="none" w:color="000000" w:sz="0"/>
              <w:bottom w:val="none" w:color="000000" w:sz="0"/>
              <w:right w:val="none" w:color="000000" w:sz="0"/>
            </w:tcBorders>
          </w:tcPr>
          <w:p/>
        </w:tc>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security" descr="Headline statistic icon" title="Headline icon secur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Crime</w:t>
                  </w:r>
                </w:p>
                <w:p>
                  <w:pPr>
                    <w:spacing w:before="0" w:after="80"/>
                  </w:pPr>
                  <w:r>
                    <w:rPr>
                      <w:rFonts w:ascii="nunito" w:cs="nunito" w:eastAsia="nunito" w:hAnsi="nunito"/>
                      <w:b/>
                      <w:bCs/>
                      <w:color w:val="25364D"/>
                      <w:sz w:val="28"/>
                      <w:szCs w:val="28"/>
                    </w:rPr>
                    <w:t xml:space="preserve">There were 791 total crime offences in Hipperholme and Lightcliffe between Mar-2025 to Feb-2026</w:t>
                  </w:r>
                </w:p>
                <w:p>
                  <w:pPr>
                    <w:spacing w:before="0" w:after="0"/>
                  </w:pPr>
                  <w:r>
                    <w:rPr>
                      <w:rFonts w:ascii="nunito" w:cs="nunito" w:eastAsia="nunito" w:hAnsi="nunito"/>
                      <w:color w:val="51627C"/>
                      <w:sz w:val="24"/>
                      <w:szCs w:val="24"/>
                    </w:rPr>
                    <w:t xml:space="preserve">This is lower than the average across Calderdale (120.4) and lower than the average across Yorkshire and The Humber (109.0)</w:t>
                  </w:r>
                </w:p>
              </w:tc>
            </w:tr>
          </w:tbl>
          <w:p/>
        </w:tc>
      </w:tr>
      <w:tr>
        <w:trPr>
          <w:trHeight w:val="158" w:hRule="exact"/>
        </w:trPr>
        <w:tc>
          <w:tcPr>
            <w:tcW w:type="dxa" w:w="7081"/>
            <w:tcBorders>
              <w:top w:val="none" w:color="000000" w:sz="0"/>
              <w:left w:val="none" w:color="000000" w:sz="0"/>
              <w:bottom w:val="none" w:color="000000" w:sz="0"/>
              <w:right w:val="none" w:color="000000" w:sz="0"/>
            </w:tcBorders>
          </w:tcPr>
          <w:p/>
        </w:tc>
        <w:tc>
          <w:tcPr>
            <w:tcW w:type="dxa" w:w="158"/>
            <w:tcBorders>
              <w:top w:val="none" w:color="000000" w:sz="0"/>
              <w:left w:val="none" w:color="000000" w:sz="0"/>
              <w:bottom w:val="none" w:color="000000" w:sz="0"/>
              <w:right w:val="none" w:color="000000" w:sz="0"/>
            </w:tcBorders>
          </w:tcPr>
          <w:p/>
        </w:tc>
        <w:tc>
          <w:tcPr>
            <w:tcW w:type="dxa" w:w="7081"/>
            <w:tcBorders>
              <w:top w:val="none" w:color="000000" w:sz="0"/>
              <w:left w:val="none" w:color="000000" w:sz="0"/>
              <w:bottom w:val="none" w:color="000000" w:sz="0"/>
              <w:right w:val="none" w:color="000000" w:sz="0"/>
            </w:tcBorders>
          </w:tcPr>
          <w:p/>
        </w:tc>
      </w:tr>
      <w:tr>
        <w:trPr>
          <w:cantSplit/>
        </w:trPr>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heart-pulse" descr="Headline statistic icon" title="Headline icon heart-pu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Health</w:t>
                  </w:r>
                </w:p>
                <w:p>
                  <w:pPr>
                    <w:spacing w:before="0" w:after="80"/>
                  </w:pPr>
                  <w:r>
                    <w:rPr>
                      <w:rFonts w:ascii="nunito" w:cs="nunito" w:eastAsia="nunito" w:hAnsi="nunito"/>
                      <w:b/>
                      <w:bCs/>
                      <w:color w:val="25364D"/>
                      <w:sz w:val="28"/>
                      <w:szCs w:val="28"/>
                    </w:rPr>
                    <w:t xml:space="preserve">8.31% of the working-age population in Hipperholme and Lightcliffe are receiving Personal Independence Payments (PIP)</w:t>
                  </w:r>
                </w:p>
                <w:p>
                  <w:pPr>
                    <w:spacing w:before="0" w:after="0"/>
                  </w:pPr>
                  <w:r>
                    <w:rPr>
                      <w:rFonts w:ascii="nunito" w:cs="nunito" w:eastAsia="nunito" w:hAnsi="nunito"/>
                      <w:color w:val="51627C"/>
                      <w:sz w:val="24"/>
                      <w:szCs w:val="24"/>
                    </w:rPr>
                    <w:t xml:space="preserve">This is lower than the proportion in Calderdale (12.04%) and lower than the proportion in Yorkshire and The Humber (11.6%)</w:t>
                  </w:r>
                </w:p>
              </w:tc>
            </w:tr>
          </w:tbl>
          <w:p/>
        </w:tc>
        <w:tc>
          <w:tcPr>
            <w:tcW w:type="dxa" w:w="158"/>
            <w:tcBorders>
              <w:top w:val="none" w:color="000000" w:sz="0"/>
              <w:left w:val="none" w:color="000000" w:sz="0"/>
              <w:bottom w:val="none" w:color="000000" w:sz="0"/>
              <w:right w:val="none" w:color="000000" w:sz="0"/>
            </w:tcBorders>
          </w:tcPr>
          <w:p/>
        </w:tc>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school" descr="Headline statistic icon" title="Headline icon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Education</w:t>
                  </w:r>
                </w:p>
                <w:p>
                  <w:pPr>
                    <w:spacing w:before="0" w:after="80"/>
                  </w:pPr>
                  <w:r>
                    <w:rPr>
                      <w:rFonts w:ascii="nunito" w:cs="nunito" w:eastAsia="nunito" w:hAnsi="nunito"/>
                      <w:b/>
                      <w:bCs/>
                      <w:color w:val="25364D"/>
                      <w:sz w:val="28"/>
                      <w:szCs w:val="28"/>
                    </w:rPr>
                    <w:t xml:space="preserve">15.01% of people aged 16+ in Hipperholme and Lightcliffe have no qualifications</w:t>
                  </w:r>
                </w:p>
                <w:p>
                  <w:pPr>
                    <w:spacing w:before="0" w:after="0"/>
                  </w:pPr>
                  <w:r>
                    <w:rPr>
                      <w:rFonts w:ascii="nunito" w:cs="nunito" w:eastAsia="nunito" w:hAnsi="nunito"/>
                      <w:color w:val="51627C"/>
                      <w:sz w:val="24"/>
                      <w:szCs w:val="24"/>
                    </w:rPr>
                    <w:t xml:space="preserve">This is lower than the average in Calderdale (19.18%) and lower than the average in Yorkshire and The Humber (20.62%)</w:t>
                  </w:r>
                </w:p>
              </w:tc>
            </w:tr>
          </w:tbl>
          <w:p/>
        </w:tc>
      </w:tr>
      <w:tr>
        <w:trPr>
          <w:trHeight w:val="158" w:hRule="exact"/>
        </w:trPr>
        <w:tc>
          <w:tcPr>
            <w:tcW w:type="dxa" w:w="7081"/>
            <w:tcBorders>
              <w:top w:val="none" w:color="000000" w:sz="0"/>
              <w:left w:val="none" w:color="000000" w:sz="0"/>
              <w:bottom w:val="none" w:color="000000" w:sz="0"/>
              <w:right w:val="none" w:color="000000" w:sz="0"/>
            </w:tcBorders>
          </w:tcPr>
          <w:p/>
        </w:tc>
        <w:tc>
          <w:tcPr>
            <w:tcW w:type="dxa" w:w="158"/>
            <w:tcBorders>
              <w:top w:val="none" w:color="000000" w:sz="0"/>
              <w:left w:val="none" w:color="000000" w:sz="0"/>
              <w:bottom w:val="none" w:color="000000" w:sz="0"/>
              <w:right w:val="none" w:color="000000" w:sz="0"/>
            </w:tcBorders>
          </w:tcPr>
          <w:p/>
        </w:tc>
        <w:tc>
          <w:tcPr>
            <w:tcW w:type="dxa" w:w="7081"/>
            <w:tcBorders>
              <w:top w:val="none" w:color="000000" w:sz="0"/>
              <w:left w:val="none" w:color="000000" w:sz="0"/>
              <w:bottom w:val="none" w:color="000000" w:sz="0"/>
              <w:right w:val="none" w:color="000000" w:sz="0"/>
            </w:tcBorders>
          </w:tcPr>
          <w:p/>
        </w:tc>
      </w:tr>
      <w:tr>
        <w:trPr>
          <w:cantSplit/>
        </w:trPr>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handshake" descr="Headline statistic icon" title="Headline icon handsh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Communities and Environment</w:t>
                  </w:r>
                </w:p>
                <w:p>
                  <w:pPr>
                    <w:spacing w:before="0" w:after="80"/>
                  </w:pPr>
                  <w:r>
                    <w:rPr>
                      <w:rFonts w:ascii="nunito" w:cs="nunito" w:eastAsia="nunito" w:hAnsi="nunito"/>
                      <w:b/>
                      <w:bCs/>
                      <w:color w:val="25364D"/>
                      <w:sz w:val="28"/>
                      <w:szCs w:val="28"/>
                    </w:rPr>
                    <w:t xml:space="preserve">Hipperholme and Lightcliffe has an overall Community Needs Index rank of 26,632</w:t>
                  </w:r>
                </w:p>
                <w:p>
                  <w:pPr>
                    <w:spacing w:before="0" w:after="0"/>
                  </w:pPr>
                  <w:r>
                    <w:rPr>
                      <w:rFonts w:ascii="nunito" w:cs="nunito" w:eastAsia="nunito" w:hAnsi="nunito"/>
                      <w:color w:val="51627C"/>
                      <w:sz w:val="24"/>
                      <w:szCs w:val="24"/>
                    </w:rPr>
                    <w:t xml:space="preserve">This means that Hipperholme and Lightcliffe has lower levels of community need than Calderdale (20,620) and lower levels of community need than Yorkshire and The Humber (15,002)</w:t>
                  </w:r>
                </w:p>
              </w:tc>
            </w:tr>
          </w:tbl>
          <w:p/>
        </w:tc>
        <w:tc>
          <w:tcPr>
            <w:tcW w:type="dxa" w:w="158"/>
            <w:tcBorders>
              <w:top w:val="none" w:color="000000" w:sz="0"/>
              <w:left w:val="none" w:color="000000" w:sz="0"/>
              <w:bottom w:val="none" w:color="000000" w:sz="0"/>
              <w:right w:val="none" w:color="000000" w:sz="0"/>
            </w:tcBorders>
          </w:tcPr>
          <w:p/>
        </w:tc>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car" descr="Headline statistic icon" title="Headline icon c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Access and Transport</w:t>
                  </w:r>
                </w:p>
                <w:p>
                  <w:pPr>
                    <w:spacing w:before="0" w:after="80"/>
                  </w:pPr>
                  <w:r>
                    <w:rPr>
                      <w:rFonts w:ascii="nunito" w:cs="nunito" w:eastAsia="nunito" w:hAnsi="nunito"/>
                      <w:b/>
                      <w:bCs/>
                      <w:color w:val="25364D"/>
                      <w:sz w:val="28"/>
                      <w:szCs w:val="28"/>
                    </w:rPr>
                    <w:t xml:space="preserve">Hipperholme and Lightcliffe has an overall Connectivity Score of 63.84</w:t>
                  </w:r>
                </w:p>
                <w:p>
                  <w:pPr>
                    <w:spacing w:before="0" w:after="0"/>
                  </w:pPr>
                  <w:r>
                    <w:rPr>
                      <w:rFonts w:ascii="nunito" w:cs="nunito" w:eastAsia="nunito" w:hAnsi="nunito"/>
                      <w:color w:val="51627C"/>
                      <w:sz w:val="24"/>
                      <w:szCs w:val="24"/>
                    </w:rPr>
                    <w:t xml:space="preserve">This means that Hipperholme and Lightcliffe has higher levels of connectivity than Calderdale (62.45) and higher levels of connectivity than Yorkshire and The Humber (62.73)</w:t>
                  </w:r>
                </w:p>
              </w:tc>
            </w:tr>
          </w:tbl>
          <w:p/>
        </w:tc>
      </w:tr>
    </w:tbl>
    <w:p>
      <w:r>
        <w:br w:type="page"/>
      </w:r>
    </w:p>
    <w:p>
      <w:pPr>
        <w:sectPr>
          <w:footerReference w:type="default" r:id="rId7"/>
          <w:pgSz w:w="16838" w:h="11906" w:orient="landscape"/>
          <w:pgMar w:top="1270" w:right="1270" w:bottom="1270" w:left="1270" w:header="708" w:footer="708" w:gutter="0"/>
          <w:pgNumType/>
          <w:docGrid w:linePitch="360"/>
        </w:sectPr>
      </w:pPr>
    </w:p>
    <w:p>
      <w:pPr>
        <w:pStyle w:val="Heading1"/>
        <w:spacing w:before="0" w:after="200"/>
      </w:pPr>
      <w:r>
        <w:t xml:space="preserve">Contents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0">
              <w:r>
                <w:rPr>
                  <w:rStyle w:val="contentsList"/>
                </w:rPr>
                <w:t xml:space="preserve">Population</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1">
              <w:r>
                <w:rPr>
                  <w:rStyle w:val="contentsList"/>
                </w:rPr>
                <w:t xml:space="preserve">Unemployment</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2">
              <w:r>
                <w:rPr>
                  <w:rStyle w:val="contentsList"/>
                </w:rPr>
                <w:t xml:space="preserve">Housing</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3">
              <w:r>
                <w:rPr>
                  <w:rStyle w:val="contentsList"/>
                </w:rPr>
                <w:t xml:space="preserve">Crime</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4">
              <w:r>
                <w:rPr>
                  <w:rStyle w:val="contentsList"/>
                </w:rPr>
                <w:t xml:space="preserve">Health</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5">
              <w:r>
                <w:rPr>
                  <w:rStyle w:val="contentsList"/>
                </w:rPr>
                <w:t xml:space="preserve">Education</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6">
              <w:r>
                <w:rPr>
                  <w:rStyle w:val="contentsList"/>
                </w:rPr>
                <w:t xml:space="preserve">Employment</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7">
              <w:r>
                <w:rPr>
                  <w:rStyle w:val="contentsList"/>
                </w:rPr>
                <w:t xml:space="preserve">Communities and Environment</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8">
              <w:r>
                <w:rPr>
                  <w:rStyle w:val="contentsList"/>
                </w:rPr>
                <w:t xml:space="preserve">Access and Transport</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appendix">
              <w:r>
                <w:rPr>
                  <w:rStyle w:val="contentsList"/>
                </w:rPr>
                <w:t xml:space="preserve">Appendix: Data sources</w:t>
              </w:r>
            </w:hyperlink>
          </w:p>
        </w:tc>
      </w:tr>
    </w:tbl>
    <w:p>
      <w:pPr>
        <w:sectPr>
          <w:footerReference w:type="default" r:id="rId8"/>
          <w:pgSz w:w="16838" w:h="11906" w:orient="landscape"/>
          <w:pgMar w:top="1270" w:right="1270" w:bottom="1270" w:left="1270" w:header="708" w:footer="708" w:gutter="0"/>
          <w:pgNumType/>
          <w:docGrid w:linePitch="360"/>
        </w:sectPr>
      </w:pPr>
    </w:p>
    <w:p>
      <w:pPr>
        <w:pStyle w:val="Heading1"/>
      </w:pPr>
      <w:bookmarkStart w:name="theme_section_0" w:id="1"/>
      <w:r>
        <w:t xml:space="preserve">Population</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Population Composition</w:t>
      </w:r>
      <w:r>
        <w:t xml:space="preserve"/>
      </w:r>
      <w:hyperlink w:history="1" r:id="rIdglx-r3c14rm2hnag5hzut">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table below provides insight into the population composition in Hipperholme and Lightcliffe. These population figures provide detail of the structure of the population by broad age bands and sex. This data is taken from the Office for National Statistics (ONS) 2024 Mid-Year Population Estimates.</w:t>
      </w:r>
      <w:hyperlink w:history="1" r:id="rIdr1uawyyg37gvk1p7cyhj0">
        <w:r>
          <w:rPr>
            <w:rStyle w:val="Hyperlink"/>
          </w:rPr>
          <w:t xml:space="preserve"/>
        </w:r>
      </w:hyperlink>
      <w:r>
        <w:t xml:space="preserve"/>
      </w:r>
    </w:p>
    <w:p>
      <w:pPr>
        <w:pStyle w:val="bodyText"/>
        <w:spacing w:before="200" w:after="200"/>
      </w:pPr>
      <w:r>
        <w:t xml:space="preserve">There are 11,727 people in Hipperholme and Lightcliffe. This is smaller than the population of Calderdale (210,929) and smaller than the population of Yorkshire and The Humber (5,672,962).</w:t>
      </w:r>
      <w:hyperlink w:history="1" r:id="rIdmbloifdqi2xha7ialxo0t">
        <w:r>
          <w:rPr>
            <w:rStyle w:val="Hyperlink"/>
          </w:rPr>
          <w:t xml:space="preserve"/>
        </w:r>
      </w:hyperlink>
      <w:r>
        <w:t xml:space="preserve"/>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1790"/>
        <w:gridCol w:w="1790"/>
        <w:gridCol w:w="1790"/>
        <w:gridCol w:w="1790"/>
        <w:gridCol w:w="1790"/>
        <w:gridCol w:w="1790"/>
      </w:tblGrid>
      <w:tr>
        <w:trPr>
          <w:tblHeader/>
          <w:trHeight w:val="600" w:hRule="atLeast"/>
        </w:trPr>
        <w:tc>
          <w:tcPr>
            <w:tcW w:type="pct" w:w="100%"/>
            <w:gridSpan w:val="7"/>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Population Composition</w:t>
            </w:r>
          </w:p>
        </w:tc>
      </w:tr>
      <w:tr>
        <w:trPr>
          <w:tblHeader/>
        </w:trPr>
        <w:tc>
          <w:tcPr>
            <w:tcW w:type="pct" w:w="25%"/>
            <w:gridSpan w:val="1"/>
            <w:shd w:fill="3edbcf" w:color="3edbcf" w:val="solid"/>
            <w:vAlign w:val="center"/>
          </w:tcPr>
          <w:p>
            <w:pPr>
              <w:pStyle w:val="tableHeader"/>
              <w:jc w:val="center"/>
            </w:pPr>
            <w:r>
              <w:t xml:space="preserve">Indicator</w:t>
            </w:r>
          </w:p>
        </w:tc>
        <w:tc>
          <w:tcPr>
            <w:tcW w:type="pct" w:w="25%"/>
            <w:gridSpan w:val="2"/>
            <w:shd w:fill="3edbcf" w:color="3edbcf" w:val="solid"/>
            <w:vAlign w:val="center"/>
          </w:tcPr>
          <w:p>
            <w:pPr>
              <w:pStyle w:val="tableHeader"/>
              <w:jc w:val="center"/>
            </w:pPr>
            <w:r>
              <w:t xml:space="preserve">Hipperholme and Lightcliffe</w:t>
            </w:r>
          </w:p>
        </w:tc>
        <w:tc>
          <w:tcPr>
            <w:tcW w:type="pct" w:w="25%"/>
            <w:gridSpan w:val="2"/>
            <w:shd w:fill="3edbcf" w:color="3edbcf" w:val="solid"/>
            <w:vAlign w:val="center"/>
          </w:tcPr>
          <w:p>
            <w:pPr>
              <w:pStyle w:val="tableHeader"/>
              <w:jc w:val="center"/>
            </w:pPr>
            <w:r>
              <w:t xml:space="preserve">Calderdale</w:t>
            </w:r>
          </w:p>
        </w:tc>
        <w:tc>
          <w:tcPr>
            <w:tcW w:type="pct" w:w="25%"/>
            <w:gridSpan w:val="2"/>
            <w:shd w:fill="3edbcf" w:color="3edbcf" w:val="solid"/>
            <w:vAlign w:val="center"/>
          </w:tcPr>
          <w:p>
            <w:pPr>
              <w:pStyle w:val="tableHeader"/>
              <w:jc w:val="center"/>
            </w:pPr>
            <w:r>
              <w:t xml:space="preserve">Yorkshire and The Humber</w:t>
            </w:r>
          </w:p>
        </w:tc>
      </w:tr>
      <w:tr>
        <w:trPr>
          <w:tblHeader/>
        </w:trPr>
        <w:tc>
          <w:tcPr>
            <w:tcW w:type="pct" w:w="25%"/>
            <w:vAlign w:val="center"/>
          </w:tcPr>
          <w:p>
            <w:pPr>
              <w:pStyle w:val="tableHeader"/>
              <w:jc w:val="center"/>
            </w:pP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r>
      <w:tr>
        <w:tc>
          <w:tcPr>
            <w:tcW w:type="pct" w:w="25%"/>
            <w:tcMar>
              <w:top w:type="dxa" w:w="0"/>
              <w:left w:type="dxa" w:w="100"/>
              <w:bottom w:type="dxa" w:w="0"/>
              <w:right w:type="dxa" w:w="0"/>
            </w:tcMar>
            <w:vAlign w:val="center"/>
          </w:tcPr>
          <w:p>
            <w:pPr>
              <w:pStyle w:val="tableData"/>
              <w:keepNext w:val="false"/>
              <w:jc w:val="left"/>
            </w:pPr>
            <w:r>
              <w:t xml:space="preserve">Total</w:t>
            </w:r>
          </w:p>
        </w:tc>
        <w:tc>
          <w:tcPr>
            <w:tcW w:type="pct" w:w="12.5%"/>
            <w:vAlign w:val="center"/>
          </w:tcPr>
          <w:p>
            <w:pPr>
              <w:pStyle w:val="tableData"/>
              <w:keepNext w:val="false"/>
              <w:jc w:val="center"/>
            </w:pPr>
            <w:r>
              <w:t xml:space="preserve">11,727</w:t>
            </w:r>
          </w:p>
        </w:tc>
        <w:tc>
          <w:tcPr>
            <w:tcW w:type="pct" w:w="12.5%"/>
            <w:vAlign w:val="center"/>
          </w:tcPr>
          <w:p>
            <w:pPr>
              <w:pStyle w:val="tableData"/>
              <w:keepNext w:val="false"/>
              <w:jc w:val="center"/>
            </w:pPr>
            <w:r>
              <w:t xml:space="preserve">-</w:t>
            </w:r>
          </w:p>
        </w:tc>
        <w:tc>
          <w:tcPr>
            <w:tcW w:type="pct" w:w="12.5%"/>
            <w:vAlign w:val="center"/>
          </w:tcPr>
          <w:p>
            <w:pPr>
              <w:pStyle w:val="tableData"/>
              <w:keepNext w:val="false"/>
              <w:jc w:val="center"/>
            </w:pPr>
            <w:r>
              <w:t xml:space="preserve">210,929</w:t>
            </w:r>
          </w:p>
        </w:tc>
        <w:tc>
          <w:tcPr>
            <w:tcW w:type="pct" w:w="12.5%"/>
            <w:vAlign w:val="center"/>
          </w:tcPr>
          <w:p>
            <w:pPr>
              <w:pStyle w:val="tableData"/>
              <w:keepNext w:val="false"/>
              <w:jc w:val="center"/>
            </w:pPr>
            <w:r>
              <w:t xml:space="preserve">-</w:t>
            </w:r>
          </w:p>
        </w:tc>
        <w:tc>
          <w:tcPr>
            <w:tcW w:type="pct" w:w="12.5%"/>
            <w:vAlign w:val="center"/>
          </w:tcPr>
          <w:p>
            <w:pPr>
              <w:pStyle w:val="tableData"/>
              <w:keepNext w:val="false"/>
              <w:jc w:val="center"/>
            </w:pPr>
            <w:r>
              <w:t xml:space="preserve">5,672,962</w:t>
            </w:r>
          </w:p>
        </w:tc>
        <w:tc>
          <w:tcPr>
            <w:tcW w:type="pct" w:w="12.5%"/>
            <w:vAlign w:val="center"/>
          </w:tcPr>
          <w:p>
            <w:pPr>
              <w:pStyle w:val="tableData"/>
              <w:keepNext w:val="false"/>
              <w:jc w:val="center"/>
            </w:pPr>
            <w:r>
              <w:t xml:space="preserve">-</w:t>
            </w:r>
          </w:p>
        </w:tc>
      </w:tr>
      <w:tr>
        <w:tc>
          <w:tcPr>
            <w:tcW w:type="pct" w:w="25%"/>
            <w:tcMar>
              <w:top w:type="dxa" w:w="0"/>
              <w:left w:type="dxa" w:w="100"/>
              <w:bottom w:type="dxa" w:w="0"/>
              <w:right w:type="dxa" w:w="0"/>
            </w:tcMar>
            <w:vAlign w:val="center"/>
          </w:tcPr>
          <w:p>
            <w:pPr>
              <w:pStyle w:val="tableData"/>
              <w:keepNext w:val="false"/>
              <w:jc w:val="left"/>
            </w:pPr>
            <w:r>
              <w:t xml:space="preserve">Male</w:t>
            </w:r>
          </w:p>
        </w:tc>
        <w:tc>
          <w:tcPr>
            <w:tcW w:type="pct" w:w="12.5%"/>
            <w:vAlign w:val="center"/>
          </w:tcPr>
          <w:p>
            <w:pPr>
              <w:pStyle w:val="tableData"/>
              <w:keepNext w:val="false"/>
              <w:jc w:val="center"/>
            </w:pPr>
            <w:r>
              <w:t xml:space="preserve">5,668</w:t>
            </w:r>
          </w:p>
        </w:tc>
        <w:tc>
          <w:tcPr>
            <w:tcW w:type="pct" w:w="12.5%"/>
            <w:vAlign w:val="center"/>
          </w:tcPr>
          <w:p>
            <w:pPr>
              <w:pStyle w:val="tableData"/>
              <w:keepNext w:val="false"/>
              <w:jc w:val="center"/>
            </w:pPr>
            <w:r>
              <w:t xml:space="preserve">48.33%</w:t>
            </w:r>
          </w:p>
        </w:tc>
        <w:tc>
          <w:tcPr>
            <w:tcW w:type="pct" w:w="12.5%"/>
            <w:vAlign w:val="center"/>
          </w:tcPr>
          <w:p>
            <w:pPr>
              <w:pStyle w:val="tableData"/>
              <w:keepNext w:val="false"/>
              <w:jc w:val="center"/>
            </w:pPr>
            <w:r>
              <w:t xml:space="preserve">103,428</w:t>
            </w:r>
          </w:p>
        </w:tc>
        <w:tc>
          <w:tcPr>
            <w:tcW w:type="pct" w:w="12.5%"/>
            <w:vAlign w:val="center"/>
          </w:tcPr>
          <w:p>
            <w:pPr>
              <w:pStyle w:val="tableData"/>
              <w:keepNext w:val="false"/>
              <w:jc w:val="center"/>
            </w:pPr>
            <w:r>
              <w:t xml:space="preserve">49.03%</w:t>
            </w:r>
          </w:p>
        </w:tc>
        <w:tc>
          <w:tcPr>
            <w:tcW w:type="pct" w:w="12.5%"/>
            <w:vAlign w:val="center"/>
          </w:tcPr>
          <w:p>
            <w:pPr>
              <w:pStyle w:val="tableData"/>
              <w:keepNext w:val="false"/>
              <w:jc w:val="center"/>
            </w:pPr>
            <w:r>
              <w:t xml:space="preserve">2,786,941</w:t>
            </w:r>
          </w:p>
        </w:tc>
        <w:tc>
          <w:tcPr>
            <w:tcW w:type="pct" w:w="12.5%"/>
            <w:vAlign w:val="center"/>
          </w:tcPr>
          <w:p>
            <w:pPr>
              <w:pStyle w:val="tableData"/>
              <w:keepNext w:val="false"/>
              <w:jc w:val="center"/>
            </w:pPr>
            <w:r>
              <w:t xml:space="preserve">49.13%</w:t>
            </w:r>
          </w:p>
        </w:tc>
      </w:tr>
      <w:tr>
        <w:tc>
          <w:tcPr>
            <w:tcW w:type="pct" w:w="25%"/>
            <w:tcMar>
              <w:top w:type="dxa" w:w="0"/>
              <w:left w:type="dxa" w:w="100"/>
              <w:bottom w:type="dxa" w:w="0"/>
              <w:right w:type="dxa" w:w="0"/>
            </w:tcMar>
            <w:vAlign w:val="center"/>
          </w:tcPr>
          <w:p>
            <w:pPr>
              <w:pStyle w:val="tableData"/>
              <w:keepNext w:val="false"/>
              <w:jc w:val="left"/>
            </w:pPr>
            <w:r>
              <w:t xml:space="preserve">Female</w:t>
            </w:r>
          </w:p>
        </w:tc>
        <w:tc>
          <w:tcPr>
            <w:tcW w:type="pct" w:w="12.5%"/>
            <w:vAlign w:val="center"/>
          </w:tcPr>
          <w:p>
            <w:pPr>
              <w:pStyle w:val="tableData"/>
              <w:keepNext w:val="false"/>
              <w:jc w:val="center"/>
            </w:pPr>
            <w:r>
              <w:t xml:space="preserve">6,059</w:t>
            </w:r>
          </w:p>
        </w:tc>
        <w:tc>
          <w:tcPr>
            <w:tcW w:type="pct" w:w="12.5%"/>
            <w:vAlign w:val="center"/>
          </w:tcPr>
          <w:p>
            <w:pPr>
              <w:pStyle w:val="tableData"/>
              <w:keepNext w:val="false"/>
              <w:jc w:val="center"/>
            </w:pPr>
            <w:r>
              <w:t xml:space="preserve">51.67%</w:t>
            </w:r>
          </w:p>
        </w:tc>
        <w:tc>
          <w:tcPr>
            <w:tcW w:type="pct" w:w="12.5%"/>
            <w:vAlign w:val="center"/>
          </w:tcPr>
          <w:p>
            <w:pPr>
              <w:pStyle w:val="tableData"/>
              <w:keepNext w:val="false"/>
              <w:jc w:val="center"/>
            </w:pPr>
            <w:r>
              <w:t xml:space="preserve">107,501</w:t>
            </w:r>
          </w:p>
        </w:tc>
        <w:tc>
          <w:tcPr>
            <w:tcW w:type="pct" w:w="12.5%"/>
            <w:vAlign w:val="center"/>
          </w:tcPr>
          <w:p>
            <w:pPr>
              <w:pStyle w:val="tableData"/>
              <w:keepNext w:val="false"/>
              <w:jc w:val="center"/>
            </w:pPr>
            <w:r>
              <w:t xml:space="preserve">50.97%</w:t>
            </w:r>
          </w:p>
        </w:tc>
        <w:tc>
          <w:tcPr>
            <w:tcW w:type="pct" w:w="12.5%"/>
            <w:vAlign w:val="center"/>
          </w:tcPr>
          <w:p>
            <w:pPr>
              <w:pStyle w:val="tableData"/>
              <w:keepNext w:val="false"/>
              <w:jc w:val="center"/>
            </w:pPr>
            <w:r>
              <w:t xml:space="preserve">2,886,021</w:t>
            </w:r>
          </w:p>
        </w:tc>
        <w:tc>
          <w:tcPr>
            <w:tcW w:type="pct" w:w="12.5%"/>
            <w:vAlign w:val="center"/>
          </w:tcPr>
          <w:p>
            <w:pPr>
              <w:pStyle w:val="tableData"/>
              <w:keepNext w:val="false"/>
              <w:jc w:val="center"/>
            </w:pPr>
            <w:r>
              <w:t xml:space="preserve">50.87%</w:t>
            </w:r>
          </w:p>
        </w:tc>
      </w:tr>
      <w:tr>
        <w:tc>
          <w:tcPr>
            <w:tcW w:type="pct" w:w="25%"/>
            <w:tcMar>
              <w:top w:type="dxa" w:w="0"/>
              <w:left w:type="dxa" w:w="100"/>
              <w:bottom w:type="dxa" w:w="0"/>
              <w:right w:type="dxa" w:w="0"/>
            </w:tcMar>
            <w:vAlign w:val="center"/>
          </w:tcPr>
          <w:p>
            <w:pPr>
              <w:pStyle w:val="tableData"/>
              <w:keepNext w:val="false"/>
              <w:jc w:val="left"/>
            </w:pPr>
            <w:r>
              <w:t xml:space="preserve">0 to 15</w:t>
            </w:r>
          </w:p>
        </w:tc>
        <w:tc>
          <w:tcPr>
            <w:tcW w:type="pct" w:w="12.5%"/>
            <w:vAlign w:val="center"/>
          </w:tcPr>
          <w:p>
            <w:pPr>
              <w:pStyle w:val="tableData"/>
              <w:keepNext w:val="false"/>
              <w:jc w:val="center"/>
            </w:pPr>
            <w:r>
              <w:t xml:space="preserve">1,989</w:t>
            </w:r>
          </w:p>
        </w:tc>
        <w:tc>
          <w:tcPr>
            <w:tcW w:type="pct" w:w="12.5%"/>
            <w:vAlign w:val="center"/>
          </w:tcPr>
          <w:p>
            <w:pPr>
              <w:pStyle w:val="tableData"/>
              <w:keepNext w:val="false"/>
              <w:jc w:val="center"/>
            </w:pPr>
            <w:r>
              <w:t xml:space="preserve">16.96%</w:t>
            </w:r>
          </w:p>
        </w:tc>
        <w:tc>
          <w:tcPr>
            <w:tcW w:type="pct" w:w="12.5%"/>
            <w:vAlign w:val="center"/>
          </w:tcPr>
          <w:p>
            <w:pPr>
              <w:pStyle w:val="tableData"/>
              <w:keepNext w:val="false"/>
              <w:jc w:val="center"/>
            </w:pPr>
            <w:r>
              <w:t xml:space="preserve">39,748</w:t>
            </w:r>
          </w:p>
        </w:tc>
        <w:tc>
          <w:tcPr>
            <w:tcW w:type="pct" w:w="12.5%"/>
            <w:vAlign w:val="center"/>
          </w:tcPr>
          <w:p>
            <w:pPr>
              <w:pStyle w:val="tableData"/>
              <w:keepNext w:val="false"/>
              <w:jc w:val="center"/>
            </w:pPr>
            <w:r>
              <w:t xml:space="preserve">18.84%</w:t>
            </w:r>
          </w:p>
        </w:tc>
        <w:tc>
          <w:tcPr>
            <w:tcW w:type="pct" w:w="12.5%"/>
            <w:vAlign w:val="center"/>
          </w:tcPr>
          <w:p>
            <w:pPr>
              <w:pStyle w:val="tableData"/>
              <w:keepNext w:val="false"/>
              <w:jc w:val="center"/>
            </w:pPr>
            <w:r>
              <w:t xml:space="preserve">1,044,066</w:t>
            </w:r>
          </w:p>
        </w:tc>
        <w:tc>
          <w:tcPr>
            <w:tcW w:type="pct" w:w="12.5%"/>
            <w:vAlign w:val="center"/>
          </w:tcPr>
          <w:p>
            <w:pPr>
              <w:pStyle w:val="tableData"/>
              <w:keepNext w:val="false"/>
              <w:jc w:val="center"/>
            </w:pPr>
            <w:r>
              <w:t xml:space="preserve">18.40%</w:t>
            </w:r>
          </w:p>
        </w:tc>
      </w:tr>
      <w:tr>
        <w:tc>
          <w:tcPr>
            <w:tcW w:type="pct" w:w="25%"/>
            <w:tcMar>
              <w:top w:type="dxa" w:w="0"/>
              <w:left w:type="dxa" w:w="100"/>
              <w:bottom w:type="dxa" w:w="0"/>
              <w:right w:type="dxa" w:w="0"/>
            </w:tcMar>
            <w:vAlign w:val="center"/>
          </w:tcPr>
          <w:p>
            <w:pPr>
              <w:pStyle w:val="tableData"/>
              <w:keepNext w:val="false"/>
              <w:jc w:val="left"/>
            </w:pPr>
            <w:r>
              <w:t xml:space="preserve">16 to 64</w:t>
            </w:r>
          </w:p>
        </w:tc>
        <w:tc>
          <w:tcPr>
            <w:tcW w:type="pct" w:w="12.5%"/>
            <w:vAlign w:val="center"/>
          </w:tcPr>
          <w:p>
            <w:pPr>
              <w:pStyle w:val="tableData"/>
              <w:keepNext w:val="false"/>
              <w:jc w:val="center"/>
            </w:pPr>
            <w:r>
              <w:t xml:space="preserve">7,080</w:t>
            </w:r>
          </w:p>
        </w:tc>
        <w:tc>
          <w:tcPr>
            <w:tcW w:type="pct" w:w="12.5%"/>
            <w:vAlign w:val="center"/>
          </w:tcPr>
          <w:p>
            <w:pPr>
              <w:pStyle w:val="tableData"/>
              <w:keepNext w:val="false"/>
              <w:jc w:val="center"/>
            </w:pPr>
            <w:r>
              <w:t xml:space="preserve">60.37%</w:t>
            </w:r>
          </w:p>
        </w:tc>
        <w:tc>
          <w:tcPr>
            <w:tcW w:type="pct" w:w="12.5%"/>
            <w:vAlign w:val="center"/>
          </w:tcPr>
          <w:p>
            <w:pPr>
              <w:pStyle w:val="tableData"/>
              <w:keepNext w:val="false"/>
              <w:jc w:val="center"/>
            </w:pPr>
            <w:r>
              <w:t xml:space="preserve">129,891</w:t>
            </w:r>
          </w:p>
        </w:tc>
        <w:tc>
          <w:tcPr>
            <w:tcW w:type="pct" w:w="12.5%"/>
            <w:vAlign w:val="center"/>
          </w:tcPr>
          <w:p>
            <w:pPr>
              <w:pStyle w:val="tableData"/>
              <w:keepNext w:val="false"/>
              <w:jc w:val="center"/>
            </w:pPr>
            <w:r>
              <w:t xml:space="preserve">61.58%</w:t>
            </w:r>
          </w:p>
        </w:tc>
        <w:tc>
          <w:tcPr>
            <w:tcW w:type="pct" w:w="12.5%"/>
            <w:vAlign w:val="center"/>
          </w:tcPr>
          <w:p>
            <w:pPr>
              <w:pStyle w:val="tableData"/>
              <w:keepNext w:val="false"/>
              <w:jc w:val="center"/>
            </w:pPr>
            <w:r>
              <w:t xml:space="preserve">3,533,340</w:t>
            </w:r>
          </w:p>
        </w:tc>
        <w:tc>
          <w:tcPr>
            <w:tcW w:type="pct" w:w="12.5%"/>
            <w:vAlign w:val="center"/>
          </w:tcPr>
          <w:p>
            <w:pPr>
              <w:pStyle w:val="tableData"/>
              <w:keepNext w:val="false"/>
              <w:jc w:val="center"/>
            </w:pPr>
            <w:r>
              <w:t xml:space="preserve">62.28%</w:t>
            </w:r>
          </w:p>
        </w:tc>
      </w:tr>
      <w:tr>
        <w:tc>
          <w:tcPr>
            <w:tcW w:type="pct" w:w="25%"/>
            <w:tcMar>
              <w:top w:type="dxa" w:w="0"/>
              <w:left w:type="dxa" w:w="100"/>
              <w:bottom w:type="dxa" w:w="0"/>
              <w:right w:type="dxa" w:w="0"/>
            </w:tcMar>
            <w:vAlign w:val="center"/>
          </w:tcPr>
          <w:p>
            <w:pPr>
              <w:pStyle w:val="tableData"/>
              <w:keepNext/>
              <w:jc w:val="left"/>
            </w:pPr>
            <w:r>
              <w:t xml:space="preserve">65 and over</w:t>
            </w:r>
          </w:p>
        </w:tc>
        <w:tc>
          <w:tcPr>
            <w:tcW w:type="pct" w:w="12.5%"/>
            <w:vAlign w:val="center"/>
          </w:tcPr>
          <w:p>
            <w:pPr>
              <w:pStyle w:val="tableData"/>
              <w:keepNext/>
              <w:jc w:val="center"/>
            </w:pPr>
            <w:r>
              <w:t xml:space="preserve">2,658</w:t>
            </w:r>
          </w:p>
        </w:tc>
        <w:tc>
          <w:tcPr>
            <w:tcW w:type="pct" w:w="12.5%"/>
            <w:vAlign w:val="center"/>
          </w:tcPr>
          <w:p>
            <w:pPr>
              <w:pStyle w:val="tableData"/>
              <w:keepNext/>
              <w:jc w:val="center"/>
            </w:pPr>
            <w:r>
              <w:t xml:space="preserve">22.67%</w:t>
            </w:r>
          </w:p>
        </w:tc>
        <w:tc>
          <w:tcPr>
            <w:tcW w:type="pct" w:w="12.5%"/>
            <w:vAlign w:val="center"/>
          </w:tcPr>
          <w:p>
            <w:pPr>
              <w:pStyle w:val="tableData"/>
              <w:keepNext/>
              <w:jc w:val="center"/>
            </w:pPr>
            <w:r>
              <w:t xml:space="preserve">41,290</w:t>
            </w:r>
          </w:p>
        </w:tc>
        <w:tc>
          <w:tcPr>
            <w:tcW w:type="pct" w:w="12.5%"/>
            <w:vAlign w:val="center"/>
          </w:tcPr>
          <w:p>
            <w:pPr>
              <w:pStyle w:val="tableData"/>
              <w:keepNext/>
              <w:jc w:val="center"/>
            </w:pPr>
            <w:r>
              <w:t xml:space="preserve">19.58%</w:t>
            </w:r>
          </w:p>
        </w:tc>
        <w:tc>
          <w:tcPr>
            <w:tcW w:type="pct" w:w="12.5%"/>
            <w:vAlign w:val="center"/>
          </w:tcPr>
          <w:p>
            <w:pPr>
              <w:pStyle w:val="tableData"/>
              <w:keepNext/>
              <w:jc w:val="center"/>
            </w:pPr>
            <w:r>
              <w:t xml:space="preserve">1,095,556</w:t>
            </w:r>
          </w:p>
        </w:tc>
        <w:tc>
          <w:tcPr>
            <w:tcW w:type="pct" w:w="12.5%"/>
            <w:vAlign w:val="center"/>
          </w:tcPr>
          <w:p>
            <w:pPr>
              <w:pStyle w:val="tableData"/>
              <w:keepNext/>
              <w:jc w:val="center"/>
            </w:pPr>
            <w:r>
              <w:t xml:space="preserve">19.31%</w:t>
            </w:r>
          </w:p>
        </w:tc>
      </w:tr>
      <w:tr>
        <w:trPr>
          <w:cantSplit/>
        </w:trPr>
        <w:tc>
          <w:tcPr>
            <w:gridSpan w:val="7"/>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Office for National Statistics (ONS)</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The Index of Multiple Deprivation (IMD)</w:t>
      </w:r>
      <w:r>
        <w:t xml:space="preserve"/>
      </w:r>
      <w:hyperlink w:history="1" r:id="rIdmmzvsg_n0chnfo6nun46s">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Index of Multiple Deprivation 2025 (IMD 2025) combines information from the seven domains to produce an overall relative measure of deprivation.The boxes below show the IMD score and rank for Hipperholme and Lightcliffe, Calderdale, Yorkshire and The Humber (average LSOA Score/Rank, where </w:t>
      </w:r>
      <w:r>
        <w:rPr>
          <w:b/>
          <w:bCs/>
        </w:rPr>
        <w:t xml:space="preserve">a higher score and a lower rank indicate that an area is experiencing higher levels of deprivation</w:t>
      </w:r>
      <w:r>
        <w:t xml:space="preserve">). In order to maintain consistency with the LSOA level convention, Rank 1 = most deprived for the average-LSOA rank measures. This differs from the published average rank figures for higher level geographies.</w:t>
      </w:r>
      <w:hyperlink w:history="1" r:id="rIdsyd6bsqlbvi9r9znn2yvx">
        <w:r>
          <w:rPr>
            <w:rStyle w:val="Hyperlink"/>
          </w:rPr>
          <w:t xml:space="preserve"/>
        </w:r>
      </w:hyperlink>
      <w:r>
        <w:t xml:space="preserve"/>
      </w:r>
    </w:p>
    <w:p>
      <w:pPr>
        <w:pStyle w:val="bodyText"/>
        <w:spacing w:before="200" w:after="200"/>
      </w:pPr>
      <w:r>
        <w:t xml:space="preserve">Hipperholme and Lightcliffe has an IMD rank of 23,304. This means that Hipperholme and Lightcliffe has lower levels of deprivation compared to Calderdale (13,431) and lower levels of deprivation compared to Yorkshire and The Humber (14,987).</w:t>
      </w:r>
      <w:hyperlink w:history="1" r:id="rIdbkykqf6puu3fwzhd7pvxm">
        <w:r>
          <w:rPr>
            <w:rStyle w:val="Hyperlink"/>
          </w:rPr>
          <w:t xml:space="preserve"/>
        </w:r>
      </w:hyperlink>
      <w:r>
        <w:t xml:space="preserve"/>
      </w:r>
    </w:p>
    <w:p>
      <w:pPr>
        <w:spacing w:line="0.5" w:after="4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7160"/>
        <w:gridCol w:w="7160"/>
      </w:tblGrid>
      <w:tr>
        <w:trPr>
          <w:cantSplit/>
        </w:trPr>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716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716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IMD 2025 Score</w:t>
                  </w:r>
                </w:p>
              </w:tc>
            </w:tr>
            <w:tr>
              <w:trPr>
                <w:cantSplit/>
                <w:trHeight w:val="790" w:hRule="atLeast"/>
              </w:trPr>
              <w:tc>
                <w:tcPr>
                  <w:tcW w:type="dxa" w:w="716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12.61</w:t>
                  </w:r>
                </w:p>
              </w:tc>
            </w:tr>
            <w:tr>
              <w:trPr>
                <w:cantSplit/>
                <w:trHeight w:val="870" w:hRule="atLeast"/>
              </w:trPr>
              <w:tc>
                <w:tcPr>
                  <w:tcW w:type="dxa" w:w="716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27.58, Yorkshire and The Humber = 25.98)</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716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716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IMD 2025 Rank</w:t>
                  </w:r>
                </w:p>
              </w:tc>
            </w:tr>
            <w:tr>
              <w:trPr>
                <w:cantSplit/>
                <w:trHeight w:val="790" w:hRule="atLeast"/>
              </w:trPr>
              <w:tc>
                <w:tcPr>
                  <w:tcW w:type="dxa" w:w="716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23,304</w:t>
                  </w:r>
                </w:p>
              </w:tc>
            </w:tr>
            <w:tr>
              <w:trPr>
                <w:cantSplit/>
                <w:trHeight w:val="870" w:hRule="atLeast"/>
              </w:trPr>
              <w:tc>
                <w:tcPr>
                  <w:tcW w:type="dxa" w:w="716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13,431, Yorkshire and The Humber = 14,987)</w:t>
                  </w:r>
                </w:p>
              </w:tc>
            </w:tr>
          </w:tbl>
          <w:p/>
        </w:tc>
      </w:tr>
      <w:tr>
        <w:trPr>
          <w:cantSplit/>
        </w:trPr>
        <w:tc>
          <w:tcPr>
            <w:gridSpan w:val="2"/>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Ministry of Housing Communities and Local Government (MHCLG; 2025)</w:t>
            </w:r>
          </w:p>
        </w:tc>
      </w:tr>
    </w:tbl>
    <w:p>
      <w:pPr>
        <w:spacing w:line="0.5" w:after="400"/>
      </w:pPr>
    </w:p>
    <w:p>
      <w:pPr>
        <w:pStyle w:val="bodyText"/>
        <w:spacing w:before="200" w:after="200"/>
      </w:pPr>
      <w:r>
        <w:t xml:space="preserve">The bar chart below explores this further, showing the proportion of people living in neighbourhoods grouped into deciles according to level of deprivation derived from the IMD. To clarify, all neighbourhoods in England are grouped into ten equal sized groups referred to as “deciles.” Neighbourhoods in Decile 1 fall within the most deprived 10% of neighbourhoods nationally, whilst neighbourhoods in Decile 10 fall within the least deprived 10% of neighbourhoods nationally.</w:t>
      </w:r>
      <w:hyperlink w:history="1" r:id="rIdzdwd-rthvp-q0d_bzuvqh">
        <w:r>
          <w:rPr>
            <w:rStyle w:val="Hyperlink"/>
          </w:rPr>
          <w:t xml:space="preserve"/>
        </w:r>
      </w:hyperlink>
      <w:r>
        <w:t xml:space="preserve"/>
      </w:r>
    </w:p>
    <w:p>
      <w:pPr>
        <w:pStyle w:val="bodyText"/>
        <w:spacing w:before="200" w:after="200"/>
      </w:pPr>
      <w:r>
        <w:t xml:space="preserve"/>
      </w:r>
      <w:hyperlink w:history="1" r:id="rIdrwvxb0akzeqxlok_fze4j">
        <w:r>
          <w:rPr>
            <w:rStyle w:val="Hyperlink"/>
          </w:rPr>
          <w:t xml:space="preserve"/>
        </w:r>
      </w:hyperlink>
      <w:r>
        <w:t xml:space="preserve"/>
      </w:r>
    </w:p>
    <w:p>
      <w:pPr>
        <w:pStyle w:val="bodyText"/>
        <w:spacing w:before="200" w:after="200"/>
      </w:pPr>
      <w:r>
        <w:t xml:space="preserve">0.00% of people in Hipperholme and Lightcliffe are living in neighbourhoods ranked within the most deprived 10% of neighbourhoods nationally on the IMD.</w:t>
      </w:r>
      <w:hyperlink w:history="1" r:id="rId6paurysu_tzqe_5ir9_rl">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Deprivation Deciles</w:t>
            </w:r>
          </w:p>
        </w:tc>
      </w:tr>
      <w:tr>
        <w:trPr>
          <w:tblHeader/>
        </w:trPr>
        <w:tc>
          <w:tcPr>
            <w:vAlign w:val="center"/>
          </w:tcPr>
          <w:p>
            <w:r>
              <w:drawing>
                <wp:inline distT="0" distB="0" distL="0" distR="0">
                  <wp:extent cx="9096375" cy="4381500"/>
                  <wp:effectExtent t="0" r="0" b="0" l="0"/>
                  <wp:docPr id="1" name="Chart for Deprivation Deciles" descr="This chart shows Deprivation Deciles. A textual description is provided elsewhere in this report." title="Chart Deprivation Deci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Ministry of Housing Communities and Local Government (MHCLG; 2025)</w:t>
            </w:r>
          </w:p>
        </w:tc>
      </w:tr>
    </w:tbl>
    <w:p>
      <w:pPr>
        <w:spacing w:line="0.5" w:after="400"/>
      </w:pPr>
    </w:p>
    <w:p>
      <w:pPr>
        <w:sectPr>
          <w:footerReference w:type="default" r:id="rId9"/>
          <w:pgSz w:w="16838" w:h="11906" w:orient="landscape"/>
          <w:pgMar w:top="1270" w:right="1270" w:bottom="1270" w:left="1270" w:header="708" w:footer="708" w:gutter="0"/>
          <w:pgNumType/>
          <w:docGrid w:linePitch="360"/>
        </w:sectPr>
      </w:pPr>
    </w:p>
    <w:p>
      <w:pPr>
        <w:pStyle w:val="Heading1"/>
      </w:pPr>
      <w:bookmarkStart w:name="theme_section_1" w:id="1"/>
      <w:r>
        <w:t xml:space="preserve">Unemployment</w:t>
      </w:r>
      <w:bookmarkEnd w:id="1"/>
    </w:p>
    <w:p>
      <w:pPr>
        <w:pStyle w:val="bodyText"/>
        <w:spacing w:before="200" w:after="200"/>
      </w:pPr>
      <w:r>
        <w:t xml:space="preserve">The table below shows the total number and proportion of people receiving Universal Credit (UC) or Job Seekers Allowance (JSA) by age and sex.</w:t>
      </w:r>
      <w:hyperlink w:history="1" r:id="rIdu6smoiroaqd-uufj9hwx0">
        <w:r>
          <w:rPr>
            <w:rStyle w:val="Hyperlink"/>
          </w:rPr>
          <w:t xml:space="preserve"/>
        </w:r>
      </w:hyperlink>
      <w:r>
        <w:t xml:space="preserve"/>
      </w:r>
    </w:p>
    <w:p>
      <w:pPr>
        <w:pStyle w:val="bodyText"/>
        <w:spacing w:before="200" w:after="200"/>
      </w:pPr>
      <w:r>
        <w:t xml:space="preserve">The proportion of working age people receiving benefits for unemployment in Hipperholme and Lightcliffe was 2.19% in Apr-2026. This is lower than the average across Calderdale (4.26%) and lower than the average across Yorkshire and The Humber (4.16%).</w:t>
      </w:r>
      <w:hyperlink w:history="1" r:id="rIdoi1x_ct9ibwdlossfimbk">
        <w:r>
          <w:rPr>
            <w:rStyle w:val="Hyperlink"/>
          </w:rPr>
          <w:t xml:space="preserve"/>
        </w:r>
      </w:hyperlink>
      <w:r>
        <w:t xml:space="preserve"/>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1790"/>
        <w:gridCol w:w="1790"/>
        <w:gridCol w:w="1790"/>
        <w:gridCol w:w="1790"/>
        <w:gridCol w:w="1790"/>
        <w:gridCol w:w="1790"/>
      </w:tblGrid>
      <w:tr>
        <w:trPr>
          <w:tblHeader/>
          <w:trHeight w:val="600" w:hRule="atLeast"/>
        </w:trPr>
        <w:tc>
          <w:tcPr>
            <w:tcW w:type="pct" w:w="100%"/>
            <w:gridSpan w:val="7"/>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Unemployment Benefit Claimants</w:t>
            </w:r>
          </w:p>
        </w:tc>
      </w:tr>
      <w:tr>
        <w:trPr>
          <w:tblHeader/>
        </w:trPr>
        <w:tc>
          <w:tcPr>
            <w:tcW w:type="pct" w:w="25%"/>
            <w:gridSpan w:val="1"/>
            <w:shd w:fill="3edbcf" w:color="3edbcf" w:val="solid"/>
            <w:vAlign w:val="center"/>
          </w:tcPr>
          <w:p>
            <w:pPr>
              <w:pStyle w:val="tableHeader"/>
              <w:jc w:val="center"/>
            </w:pPr>
            <w:r>
              <w:t xml:space="preserve">Indicator</w:t>
            </w:r>
          </w:p>
        </w:tc>
        <w:tc>
          <w:tcPr>
            <w:tcW w:type="pct" w:w="25%"/>
            <w:gridSpan w:val="2"/>
            <w:shd w:fill="3edbcf" w:color="3edbcf" w:val="solid"/>
            <w:vAlign w:val="center"/>
          </w:tcPr>
          <w:p>
            <w:pPr>
              <w:pStyle w:val="tableHeader"/>
              <w:jc w:val="center"/>
            </w:pPr>
            <w:r>
              <w:t xml:space="preserve">Hipperholme and Lightcliffe</w:t>
            </w:r>
          </w:p>
        </w:tc>
        <w:tc>
          <w:tcPr>
            <w:tcW w:type="pct" w:w="25%"/>
            <w:gridSpan w:val="2"/>
            <w:shd w:fill="3edbcf" w:color="3edbcf" w:val="solid"/>
            <w:vAlign w:val="center"/>
          </w:tcPr>
          <w:p>
            <w:pPr>
              <w:pStyle w:val="tableHeader"/>
              <w:jc w:val="center"/>
            </w:pPr>
            <w:r>
              <w:t xml:space="preserve">Calderdale</w:t>
            </w:r>
          </w:p>
        </w:tc>
        <w:tc>
          <w:tcPr>
            <w:tcW w:type="pct" w:w="25%"/>
            <w:gridSpan w:val="2"/>
            <w:shd w:fill="3edbcf" w:color="3edbcf" w:val="solid"/>
            <w:vAlign w:val="center"/>
          </w:tcPr>
          <w:p>
            <w:pPr>
              <w:pStyle w:val="tableHeader"/>
              <w:jc w:val="center"/>
            </w:pPr>
            <w:r>
              <w:t xml:space="preserve">Yorkshire and The Humber</w:t>
            </w:r>
          </w:p>
        </w:tc>
      </w:tr>
      <w:tr>
        <w:trPr>
          <w:tblHeader/>
        </w:trPr>
        <w:tc>
          <w:tcPr>
            <w:tcW w:type="pct" w:w="25%"/>
            <w:vAlign w:val="center"/>
          </w:tcPr>
          <w:p>
            <w:pPr>
              <w:pStyle w:val="tableHeader"/>
              <w:jc w:val="center"/>
            </w:pP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r>
      <w:tr>
        <w:tc>
          <w:tcPr>
            <w:tcW w:type="pct" w:w="25%"/>
            <w:tcMar>
              <w:top w:type="dxa" w:w="0"/>
              <w:left w:type="dxa" w:w="100"/>
              <w:bottom w:type="dxa" w:w="0"/>
              <w:right w:type="dxa" w:w="0"/>
            </w:tcMar>
            <w:vAlign w:val="center"/>
          </w:tcPr>
          <w:p>
            <w:pPr>
              <w:pStyle w:val="tableData"/>
              <w:keepNext w:val="false"/>
              <w:jc w:val="left"/>
            </w:pPr>
            <w:r>
              <w:t xml:space="preserve">Unemployment benefit claimants (Jobseekers Allowance and out of work Universal Credit claimants)</w:t>
            </w:r>
          </w:p>
        </w:tc>
        <w:tc>
          <w:tcPr>
            <w:tcW w:type="pct" w:w="12.5%"/>
            <w:vAlign w:val="center"/>
          </w:tcPr>
          <w:p>
            <w:pPr>
              <w:pStyle w:val="tableData"/>
              <w:keepNext w:val="false"/>
              <w:jc w:val="center"/>
            </w:pPr>
            <w:r>
              <w:t xml:space="preserve">155</w:t>
            </w:r>
          </w:p>
        </w:tc>
        <w:tc>
          <w:tcPr>
            <w:tcW w:type="pct" w:w="12.5%"/>
            <w:vAlign w:val="center"/>
          </w:tcPr>
          <w:p>
            <w:pPr>
              <w:pStyle w:val="tableData"/>
              <w:keepNext w:val="false"/>
              <w:jc w:val="center"/>
            </w:pPr>
            <w:r>
              <w:t xml:space="preserve">2.19%</w:t>
            </w:r>
          </w:p>
        </w:tc>
        <w:tc>
          <w:tcPr>
            <w:tcW w:type="pct" w:w="12.5%"/>
            <w:vAlign w:val="center"/>
          </w:tcPr>
          <w:p>
            <w:pPr>
              <w:pStyle w:val="tableData"/>
              <w:keepNext w:val="false"/>
              <w:jc w:val="center"/>
            </w:pPr>
            <w:r>
              <w:t xml:space="preserve">5,535</w:t>
            </w:r>
          </w:p>
        </w:tc>
        <w:tc>
          <w:tcPr>
            <w:tcW w:type="pct" w:w="12.5%"/>
            <w:vAlign w:val="center"/>
          </w:tcPr>
          <w:p>
            <w:pPr>
              <w:pStyle w:val="tableData"/>
              <w:keepNext w:val="false"/>
              <w:jc w:val="center"/>
            </w:pPr>
            <w:r>
              <w:t xml:space="preserve">4.26%</w:t>
            </w:r>
          </w:p>
        </w:tc>
        <w:tc>
          <w:tcPr>
            <w:tcW w:type="pct" w:w="12.5%"/>
            <w:vAlign w:val="center"/>
          </w:tcPr>
          <w:p>
            <w:pPr>
              <w:pStyle w:val="tableData"/>
              <w:keepNext w:val="false"/>
              <w:jc w:val="center"/>
            </w:pPr>
            <w:r>
              <w:t xml:space="preserve">146,935</w:t>
            </w:r>
          </w:p>
        </w:tc>
        <w:tc>
          <w:tcPr>
            <w:tcW w:type="pct" w:w="12.5%"/>
            <w:vAlign w:val="center"/>
          </w:tcPr>
          <w:p>
            <w:pPr>
              <w:pStyle w:val="tableData"/>
              <w:keepNext w:val="false"/>
              <w:jc w:val="center"/>
            </w:pPr>
            <w:r>
              <w:t xml:space="preserve">4.16%</w:t>
            </w:r>
          </w:p>
        </w:tc>
      </w:tr>
      <w:tr>
        <w:tc>
          <w:tcPr>
            <w:tcW w:type="pct" w:w="25%"/>
            <w:tcMar>
              <w:top w:type="dxa" w:w="0"/>
              <w:left w:type="dxa" w:w="100"/>
              <w:bottom w:type="dxa" w:w="0"/>
              <w:right w:type="dxa" w:w="0"/>
            </w:tcMar>
            <w:vAlign w:val="center"/>
          </w:tcPr>
          <w:p>
            <w:pPr>
              <w:pStyle w:val="tableData"/>
              <w:keepNext w:val="false"/>
              <w:jc w:val="left"/>
            </w:pPr>
            <w:r>
              <w:t xml:space="preserve">Youth unemployment (18-24 receiving JSA or Universal Credit)</w:t>
            </w:r>
          </w:p>
        </w:tc>
        <w:tc>
          <w:tcPr>
            <w:tcW w:type="pct" w:w="12.5%"/>
            <w:vAlign w:val="center"/>
          </w:tcPr>
          <w:p>
            <w:pPr>
              <w:pStyle w:val="tableData"/>
              <w:keepNext w:val="false"/>
              <w:jc w:val="center"/>
            </w:pPr>
            <w:r>
              <w:t xml:space="preserve">40</w:t>
            </w:r>
          </w:p>
        </w:tc>
        <w:tc>
          <w:tcPr>
            <w:tcW w:type="pct" w:w="12.5%"/>
            <w:vAlign w:val="center"/>
          </w:tcPr>
          <w:p>
            <w:pPr>
              <w:pStyle w:val="tableData"/>
              <w:keepNext w:val="false"/>
              <w:jc w:val="center"/>
            </w:pPr>
            <w:r>
              <w:t xml:space="preserve">5.06%</w:t>
            </w:r>
          </w:p>
        </w:tc>
        <w:tc>
          <w:tcPr>
            <w:tcW w:type="pct" w:w="12.5%"/>
            <w:vAlign w:val="center"/>
          </w:tcPr>
          <w:p>
            <w:pPr>
              <w:pStyle w:val="tableData"/>
              <w:keepNext w:val="false"/>
              <w:jc w:val="center"/>
            </w:pPr>
            <w:r>
              <w:t xml:space="preserve">1,270</w:t>
            </w:r>
          </w:p>
        </w:tc>
        <w:tc>
          <w:tcPr>
            <w:tcW w:type="pct" w:w="12.5%"/>
            <w:vAlign w:val="center"/>
          </w:tcPr>
          <w:p>
            <w:pPr>
              <w:pStyle w:val="tableData"/>
              <w:keepNext w:val="false"/>
              <w:jc w:val="center"/>
            </w:pPr>
            <w:r>
              <w:t xml:space="preserve">8.60%</w:t>
            </w:r>
          </w:p>
        </w:tc>
        <w:tc>
          <w:tcPr>
            <w:tcW w:type="pct" w:w="12.5%"/>
            <w:vAlign w:val="center"/>
          </w:tcPr>
          <w:p>
            <w:pPr>
              <w:pStyle w:val="tableData"/>
              <w:keepNext w:val="false"/>
              <w:jc w:val="center"/>
            </w:pPr>
            <w:r>
              <w:t xml:space="preserve">32,270</w:t>
            </w:r>
          </w:p>
        </w:tc>
        <w:tc>
          <w:tcPr>
            <w:tcW w:type="pct" w:w="12.5%"/>
            <w:vAlign w:val="center"/>
          </w:tcPr>
          <w:p>
            <w:pPr>
              <w:pStyle w:val="tableData"/>
              <w:keepNext w:val="false"/>
              <w:jc w:val="center"/>
            </w:pPr>
            <w:r>
              <w:t xml:space="preserve">6.45%</w:t>
            </w:r>
          </w:p>
        </w:tc>
      </w:tr>
      <w:tr>
        <w:tc>
          <w:tcPr>
            <w:tcW w:type="pct" w:w="25%"/>
            <w:tcMar>
              <w:top w:type="dxa" w:w="0"/>
              <w:left w:type="dxa" w:w="100"/>
              <w:bottom w:type="dxa" w:w="0"/>
              <w:right w:type="dxa" w:w="0"/>
            </w:tcMar>
            <w:vAlign w:val="center"/>
          </w:tcPr>
          <w:p>
            <w:pPr>
              <w:pStyle w:val="tableData"/>
              <w:keepNext w:val="false"/>
              <w:jc w:val="left"/>
            </w:pPr>
            <w:r>
              <w:t xml:space="preserve">Older person unemployment (50+ receiving JSA or Universal Credit)</w:t>
            </w:r>
          </w:p>
        </w:tc>
        <w:tc>
          <w:tcPr>
            <w:tcW w:type="pct" w:w="12.5%"/>
            <w:vAlign w:val="center"/>
          </w:tcPr>
          <w:p>
            <w:pPr>
              <w:pStyle w:val="tableData"/>
              <w:keepNext w:val="false"/>
              <w:jc w:val="center"/>
            </w:pPr>
            <w:r>
              <w:t xml:space="preserve">35</w:t>
            </w:r>
          </w:p>
        </w:tc>
        <w:tc>
          <w:tcPr>
            <w:tcW w:type="pct" w:w="12.5%"/>
            <w:vAlign w:val="center"/>
          </w:tcPr>
          <w:p>
            <w:pPr>
              <w:pStyle w:val="tableData"/>
              <w:keepNext w:val="false"/>
              <w:jc w:val="center"/>
            </w:pPr>
            <w:r>
              <w:t xml:space="preserve">0.67%</w:t>
            </w:r>
          </w:p>
        </w:tc>
        <w:tc>
          <w:tcPr>
            <w:tcW w:type="pct" w:w="12.5%"/>
            <w:vAlign w:val="center"/>
          </w:tcPr>
          <w:p>
            <w:pPr>
              <w:pStyle w:val="tableData"/>
              <w:keepNext w:val="false"/>
              <w:jc w:val="center"/>
            </w:pPr>
            <w:r>
              <w:t xml:space="preserve">1,140</w:t>
            </w:r>
          </w:p>
        </w:tc>
        <w:tc>
          <w:tcPr>
            <w:tcW w:type="pct" w:w="12.5%"/>
            <w:vAlign w:val="center"/>
          </w:tcPr>
          <w:p>
            <w:pPr>
              <w:pStyle w:val="tableData"/>
              <w:keepNext w:val="false"/>
              <w:jc w:val="center"/>
            </w:pPr>
            <w:r>
              <w:t xml:space="preserve">1.33%</w:t>
            </w:r>
          </w:p>
        </w:tc>
        <w:tc>
          <w:tcPr>
            <w:tcW w:type="pct" w:w="12.5%"/>
            <w:vAlign w:val="center"/>
          </w:tcPr>
          <w:p>
            <w:pPr>
              <w:pStyle w:val="tableData"/>
              <w:keepNext w:val="false"/>
              <w:jc w:val="center"/>
            </w:pPr>
            <w:r>
              <w:t xml:space="preserve">29,540</w:t>
            </w:r>
          </w:p>
        </w:tc>
        <w:tc>
          <w:tcPr>
            <w:tcW w:type="pct" w:w="12.5%"/>
            <w:vAlign w:val="center"/>
          </w:tcPr>
          <w:p>
            <w:pPr>
              <w:pStyle w:val="tableData"/>
              <w:keepNext w:val="false"/>
              <w:jc w:val="center"/>
            </w:pPr>
            <w:r>
              <w:t xml:space="preserve">1.35%</w:t>
            </w:r>
          </w:p>
        </w:tc>
      </w:tr>
      <w:tr>
        <w:tc>
          <w:tcPr>
            <w:tcW w:type="pct" w:w="25%"/>
            <w:tcMar>
              <w:top w:type="dxa" w:w="0"/>
              <w:left w:type="dxa" w:w="100"/>
              <w:bottom w:type="dxa" w:w="0"/>
              <w:right w:type="dxa" w:w="0"/>
            </w:tcMar>
            <w:vAlign w:val="center"/>
          </w:tcPr>
          <w:p>
            <w:pPr>
              <w:pStyle w:val="tableData"/>
              <w:keepNext w:val="false"/>
              <w:jc w:val="left"/>
            </w:pPr>
            <w:r>
              <w:t xml:space="preserve">Unemployment benefit (JSA and Universal Credit), female</w:t>
            </w:r>
          </w:p>
        </w:tc>
        <w:tc>
          <w:tcPr>
            <w:tcW w:type="pct" w:w="12.5%"/>
            <w:vAlign w:val="center"/>
          </w:tcPr>
          <w:p>
            <w:pPr>
              <w:pStyle w:val="tableData"/>
              <w:keepNext w:val="false"/>
              <w:jc w:val="center"/>
            </w:pPr>
            <w:r>
              <w:t xml:space="preserve">65</w:t>
            </w:r>
          </w:p>
        </w:tc>
        <w:tc>
          <w:tcPr>
            <w:tcW w:type="pct" w:w="12.5%"/>
            <w:vAlign w:val="center"/>
          </w:tcPr>
          <w:p>
            <w:pPr>
              <w:pStyle w:val="tableData"/>
              <w:keepNext w:val="false"/>
              <w:jc w:val="center"/>
            </w:pPr>
            <w:r>
              <w:t xml:space="preserve">1.76%</w:t>
            </w:r>
          </w:p>
        </w:tc>
        <w:tc>
          <w:tcPr>
            <w:tcW w:type="pct" w:w="12.5%"/>
            <w:vAlign w:val="center"/>
          </w:tcPr>
          <w:p>
            <w:pPr>
              <w:pStyle w:val="tableData"/>
              <w:keepNext w:val="false"/>
              <w:jc w:val="center"/>
            </w:pPr>
            <w:r>
              <w:t xml:space="preserve">2,290</w:t>
            </w:r>
          </w:p>
        </w:tc>
        <w:tc>
          <w:tcPr>
            <w:tcW w:type="pct" w:w="12.5%"/>
            <w:vAlign w:val="center"/>
          </w:tcPr>
          <w:p>
            <w:pPr>
              <w:pStyle w:val="tableData"/>
              <w:keepNext w:val="false"/>
              <w:jc w:val="center"/>
            </w:pPr>
            <w:r>
              <w:t xml:space="preserve">3.48%</w:t>
            </w:r>
          </w:p>
        </w:tc>
        <w:tc>
          <w:tcPr>
            <w:tcW w:type="pct" w:w="12.5%"/>
            <w:vAlign w:val="center"/>
          </w:tcPr>
          <w:p>
            <w:pPr>
              <w:pStyle w:val="tableData"/>
              <w:keepNext w:val="false"/>
              <w:jc w:val="center"/>
            </w:pPr>
            <w:r>
              <w:t xml:space="preserve">62,100</w:t>
            </w:r>
          </w:p>
        </w:tc>
        <w:tc>
          <w:tcPr>
            <w:tcW w:type="pct" w:w="12.5%"/>
            <w:vAlign w:val="center"/>
          </w:tcPr>
          <w:p>
            <w:pPr>
              <w:pStyle w:val="tableData"/>
              <w:keepNext w:val="false"/>
              <w:jc w:val="center"/>
            </w:pPr>
            <w:r>
              <w:t xml:space="preserve">3.48%</w:t>
            </w:r>
          </w:p>
        </w:tc>
      </w:tr>
      <w:tr>
        <w:tc>
          <w:tcPr>
            <w:tcW w:type="pct" w:w="25%"/>
            <w:tcMar>
              <w:top w:type="dxa" w:w="0"/>
              <w:left w:type="dxa" w:w="100"/>
              <w:bottom w:type="dxa" w:w="0"/>
              <w:right w:type="dxa" w:w="0"/>
            </w:tcMar>
            <w:vAlign w:val="center"/>
          </w:tcPr>
          <w:p>
            <w:pPr>
              <w:pStyle w:val="tableData"/>
              <w:keepNext/>
              <w:jc w:val="left"/>
            </w:pPr>
            <w:r>
              <w:t xml:space="preserve">Unemployment benefit (JSA and Universal Credit), male</w:t>
            </w:r>
          </w:p>
        </w:tc>
        <w:tc>
          <w:tcPr>
            <w:tcW w:type="pct" w:w="12.5%"/>
            <w:vAlign w:val="center"/>
          </w:tcPr>
          <w:p>
            <w:pPr>
              <w:pStyle w:val="tableData"/>
              <w:keepNext/>
              <w:jc w:val="center"/>
            </w:pPr>
            <w:r>
              <w:t xml:space="preserve">90</w:t>
            </w:r>
          </w:p>
        </w:tc>
        <w:tc>
          <w:tcPr>
            <w:tcW w:type="pct" w:w="12.5%"/>
            <w:vAlign w:val="center"/>
          </w:tcPr>
          <w:p>
            <w:pPr>
              <w:pStyle w:val="tableData"/>
              <w:keepNext/>
              <w:jc w:val="center"/>
            </w:pPr>
            <w:r>
              <w:t xml:space="preserve">2.65%</w:t>
            </w:r>
          </w:p>
        </w:tc>
        <w:tc>
          <w:tcPr>
            <w:tcW w:type="pct" w:w="12.5%"/>
            <w:vAlign w:val="center"/>
          </w:tcPr>
          <w:p>
            <w:pPr>
              <w:pStyle w:val="tableData"/>
              <w:keepNext/>
              <w:jc w:val="center"/>
            </w:pPr>
            <w:r>
              <w:t xml:space="preserve">3,250</w:t>
            </w:r>
          </w:p>
        </w:tc>
        <w:tc>
          <w:tcPr>
            <w:tcW w:type="pct" w:w="12.5%"/>
            <w:vAlign w:val="center"/>
          </w:tcPr>
          <w:p>
            <w:pPr>
              <w:pStyle w:val="tableData"/>
              <w:keepNext/>
              <w:jc w:val="center"/>
            </w:pPr>
            <w:r>
              <w:t xml:space="preserve">5.08%</w:t>
            </w:r>
          </w:p>
        </w:tc>
        <w:tc>
          <w:tcPr>
            <w:tcW w:type="pct" w:w="12.5%"/>
            <w:vAlign w:val="center"/>
          </w:tcPr>
          <w:p>
            <w:pPr>
              <w:pStyle w:val="tableData"/>
              <w:keepNext/>
              <w:jc w:val="center"/>
            </w:pPr>
            <w:r>
              <w:t xml:space="preserve">84,835</w:t>
            </w:r>
          </w:p>
        </w:tc>
        <w:tc>
          <w:tcPr>
            <w:tcW w:type="pct" w:w="12.5%"/>
            <w:vAlign w:val="center"/>
          </w:tcPr>
          <w:p>
            <w:pPr>
              <w:pStyle w:val="tableData"/>
              <w:keepNext/>
              <w:jc w:val="center"/>
            </w:pPr>
            <w:r>
              <w:t xml:space="preserve">4.86%</w:t>
            </w:r>
          </w:p>
        </w:tc>
      </w:tr>
      <w:tr>
        <w:trPr>
          <w:cantSplit/>
        </w:trPr>
        <w:tc>
          <w:tcPr>
            <w:gridSpan w:val="7"/>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Department for Work and Pensions (DWP)</w:t>
            </w:r>
          </w:p>
        </w:tc>
      </w:tr>
    </w:tbl>
    <w:p>
      <w:pPr>
        <w:spacing w:line="0.5" w:after="400"/>
      </w:pPr>
    </w:p>
    <w:p>
      <w:pPr>
        <w:pStyle w:val="bodyText"/>
        <w:spacing w:before="200" w:after="200"/>
      </w:pPr>
      <w:r>
        <w:t xml:space="preserve">The chart below shows the total proportion of people receiving unemployment benefit (JSA or Universal Credit) between Jan-2020 and Apr-2026.</w:t>
      </w:r>
      <w:hyperlink w:history="1" r:id="rIdmaqbyltyvwmku67ofcaaa">
        <w:r>
          <w:rPr>
            <w:rStyle w:val="Hyperlink"/>
          </w:rPr>
          <w:t xml:space="preserve"/>
        </w:r>
      </w:hyperlink>
      <w:r>
        <w:t xml:space="preserve"/>
      </w:r>
    </w:p>
    <w:p>
      <w:pPr>
        <w:pStyle w:val="bodyText"/>
        <w:spacing w:before="200" w:after="200"/>
      </w:pPr>
      <w:r>
        <w:t xml:space="preserve">The total unemployment rate in Hipperholme and Lightcliffe has increased from 1.81% in Jan-2020 to 2.19% in Apr-2026.</w:t>
      </w:r>
      <w:hyperlink w:history="1" r:id="rId-z2oev5xzofryspo1lbvu">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Unemployment Benefit Claimants (time series)</w:t>
            </w:r>
          </w:p>
        </w:tc>
      </w:tr>
      <w:tr>
        <w:trPr>
          <w:tblHeader/>
        </w:trPr>
        <w:tc>
          <w:tcPr>
            <w:vAlign w:val="center"/>
          </w:tcPr>
          <w:p>
            <w:r>
              <w:drawing>
                <wp:inline distT="0" distB="0" distL="0" distR="0">
                  <wp:extent cx="9096375" cy="4381500"/>
                  <wp:effectExtent t="0" r="0" b="0" l="0"/>
                  <wp:docPr id="1" name="Chart for Unemployment Benefit Claimants (time series)" descr="This chart shows Unemployment Benefit Claimants (time series). A textual description is provided elsewhere in this report." title="Chart Unemployment Benefit Claimants (time se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Department for Work and Pensions (DWP)</w:t>
            </w:r>
          </w:p>
        </w:tc>
      </w:tr>
    </w:tbl>
    <w:p>
      <w:pPr>
        <w:spacing w:line="0.5" w:after="400"/>
      </w:pPr>
    </w:p>
    <w:p>
      <w:pPr>
        <w:sectPr>
          <w:footerReference w:type="default" r:id="rId10"/>
          <w:pgSz w:w="16838" w:h="11906" w:orient="landscape"/>
          <w:pgMar w:top="1270" w:right="1270" w:bottom="1270" w:left="1270" w:header="708" w:footer="708" w:gutter="0"/>
          <w:pgNumType/>
          <w:docGrid w:linePitch="360"/>
        </w:sectPr>
      </w:pPr>
    </w:p>
    <w:p>
      <w:pPr>
        <w:pStyle w:val="Heading1"/>
      </w:pPr>
      <w:bookmarkStart w:name="theme_section_2" w:id="1"/>
      <w:r>
        <w:t xml:space="preserve">Housing</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Average House Prices</w:t>
      </w:r>
      <w:r>
        <w:t xml:space="preserve"/>
      </w:r>
      <w:hyperlink w:history="1" r:id="rIdwghtbo1ml5m-e46t35gsx">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figures below show the mean house prices by accommodation type across Hipperholme and Lightcliffe and comparator areas for four key dwelling types (detached houses, semi-detached houses, terraced houses and flats). Data on house prices is from the</w:t>
      </w:r>
      <w:hyperlink w:history="1" r:id="rIdedehrxgjqphr0s5qfrx_n">
        <w:r>
          <w:rPr>
            <w:rStyle w:val="Hyperlink"/>
          </w:rPr>
          <w:t xml:space="preserve">Land Registry open data, price-paid dataset </w:t>
        </w:r>
      </w:hyperlink>
      <w:r>
        <w:t xml:space="preserve">The Land Registry collect data on all housing transactions, published by individual property and date with the average house-price for all property types calculated on a rolling 12 months total.</w:t>
      </w:r>
    </w:p>
    <w:p>
      <w:pPr>
        <w:pStyle w:val="bodyText"/>
        <w:spacing w:before="200" w:after="200"/>
      </w:pPr>
      <w:r>
        <w:t xml:space="preserve">The average property price for all dwelling types in Hipperholme and Lightcliffe was £270,699 between Mar-2025 to Feb-2026. This is higher than within Calderdale (£218,554) and higher than the average within Yorkshire and The Humber (£238,756).</w:t>
      </w:r>
      <w:hyperlink w:history="1" r:id="rIdartpe21lxjsbjl6_vg6d-">
        <w:r>
          <w:rPr>
            <w:rStyle w:val="Hyperlink"/>
          </w:rPr>
          <w:t xml:space="preserve"/>
        </w:r>
      </w:hyperlink>
      <w:r>
        <w:t xml:space="preserve"/>
      </w:r>
    </w:p>
    <w:p>
      <w:pPr>
        <w:pStyle w:val="bodyText"/>
        <w:spacing w:before="200" w:after="200"/>
      </w:pPr>
      <w:r>
        <w:t xml:space="preserve"/>
      </w:r>
      <w:r>
        <w:rPr>
          <w:i/>
          <w:iCs/>
        </w:rPr>
        <w:t xml:space="preserve">Note: Some small areas may not have had a transaction recorded within the twelve month period leading to gaps in the figures below.</w:t>
      </w:r>
      <w:r>
        <w:t xml:space="preserve"/>
      </w:r>
      <w:hyperlink w:history="1" r:id="rIdz5frryiwkplyewrqgfse6">
        <w:r>
          <w:rPr>
            <w:rStyle w:val="Hyperlink"/>
          </w:rPr>
          <w:t xml:space="preserve"/>
        </w:r>
      </w:hyperlink>
      <w:r>
        <w:t xml:space="preserve"/>
      </w:r>
    </w:p>
    <w:p>
      <w:pPr>
        <w:spacing w:line="0.5" w:after="2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cantSplit/>
        </w:trPr>
        <w:tc>
          <w:tcPr>
            <w:tcBorders>
              <w:top w:val="none" w:color="000000" w:sz="0"/>
              <w:left w:val="none" w:color="000000" w:sz="0"/>
              <w:bottom w:val="none" w:color="000000" w:sz="0"/>
              <w:right w:val="none" w:color="000000" w:sz="0"/>
            </w:tcBorders>
            <w:tcMar>
              <w:top w:type="dxa" w:w="0"/>
              <w:left w:type="dxa" w:w="0"/>
              <w:bottom w:type="dxa" w:w="0"/>
              <w:right w:type="dxa" w:w="0"/>
            </w:tcMar>
          </w:tcPr>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1432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Average House Price</w:t>
                  </w:r>
                </w:p>
              </w:tc>
            </w:tr>
            <w:tr>
              <w:trPr>
                <w:cantSplit/>
                <w:trHeight w:val="790" w:hRule="atLeast"/>
              </w:trPr>
              <w:tc>
                <w:tcPr>
                  <w:tcW w:type="dxa" w:w="1432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£270,699</w:t>
                  </w:r>
                </w:p>
              </w:tc>
            </w:tr>
            <w:tr>
              <w:trPr>
                <w:cantSplit/>
                <w:trHeight w:val="870" w:hRule="atLeast"/>
              </w:trPr>
              <w:tc>
                <w:tcPr>
                  <w:tcW w:type="dxa" w:w="1432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£218,554, Yorkshire and The Humber = £238,756)</w:t>
                  </w:r>
                </w:p>
              </w:tc>
            </w:tr>
          </w:tbl>
          <w:p/>
        </w:tc>
      </w:tr>
      <w:tr>
        <w:trPr>
          <w:cantSplit/>
        </w:trPr>
        <w:tc>
          <w:tcPr>
            <w:gridSpan w:val="1"/>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UK Land Registry (Mar-2025 to Feb-2026)</w:t>
            </w:r>
          </w:p>
        </w:tc>
      </w:tr>
    </w:tbl>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3580"/>
        <w:gridCol w:w="3580"/>
        <w:gridCol w:w="3580"/>
      </w:tblGrid>
      <w:tr>
        <w:trPr>
          <w:tblHeader/>
          <w:trHeight w:val="600" w:hRule="atLeast"/>
        </w:trPr>
        <w:tc>
          <w:tcPr>
            <w:tcW w:type="pct" w:w="100%"/>
            <w:gridSpan w:val="4"/>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Average House Prices</w:t>
            </w:r>
          </w:p>
        </w:tc>
      </w:tr>
      <w:tr>
        <w:trPr>
          <w:tblHeader/>
        </w:trPr>
        <w:tc>
          <w:tcPr>
            <w:shd w:fill="3edbcf" w:color="3edbcf" w:val="solid"/>
            <w:vAlign w:val="center"/>
          </w:tcPr>
          <w:p>
            <w:pPr>
              <w:pStyle w:val="tableHeader"/>
              <w:jc w:val="center"/>
            </w:pPr>
            <w:r>
              <w:t xml:space="preserve">Indicator</w:t>
            </w:r>
          </w:p>
        </w:tc>
        <w:tc>
          <w:tcPr>
            <w:shd w:fill="3edbcf" w:color="3edbcf" w:val="solid"/>
            <w:vAlign w:val="center"/>
          </w:tcPr>
          <w:p>
            <w:pPr>
              <w:pStyle w:val="tableHeader"/>
              <w:jc w:val="center"/>
            </w:pPr>
            <w:r>
              <w:t xml:space="preserve">Hipperholme and Lightcliffe</w:t>
            </w:r>
          </w:p>
        </w:tc>
        <w:tc>
          <w:tcPr>
            <w:shd w:fill="3edbcf" w:color="3edbcf" w:val="solid"/>
            <w:vAlign w:val="center"/>
          </w:tcPr>
          <w:p>
            <w:pPr>
              <w:pStyle w:val="tableHeader"/>
              <w:jc w:val="center"/>
            </w:pPr>
            <w:r>
              <w:t xml:space="preserve">Calderdale</w:t>
            </w:r>
          </w:p>
        </w:tc>
        <w:tc>
          <w:tcPr>
            <w:shd w:fill="3edbcf" w:color="3edbcf" w:val="solid"/>
            <w:vAlign w:val="center"/>
          </w:tcPr>
          <w:p>
            <w:pPr>
              <w:pStyle w:val="tableHeader"/>
              <w:jc w:val="center"/>
            </w:pPr>
            <w:r>
              <w:t xml:space="preserve">Yorkshire and The Humber</w:t>
            </w:r>
          </w:p>
        </w:tc>
      </w:tr>
      <w:tr>
        <w:tc>
          <w:tcPr>
            <w:tcMar>
              <w:top w:type="dxa" w:w="0"/>
              <w:left w:type="dxa" w:w="100"/>
              <w:bottom w:type="dxa" w:w="0"/>
              <w:right w:type="dxa" w:w="0"/>
            </w:tcMar>
            <w:vAlign w:val="center"/>
          </w:tcPr>
          <w:p>
            <w:pPr>
              <w:pStyle w:val="tableData"/>
              <w:keepNext w:val="false"/>
              <w:jc w:val="left"/>
            </w:pPr>
            <w:r>
              <w:t xml:space="preserve">Detached Houses</w:t>
            </w:r>
          </w:p>
        </w:tc>
        <w:tc>
          <w:tcPr>
            <w:vAlign w:val="center"/>
          </w:tcPr>
          <w:p>
            <w:pPr>
              <w:pStyle w:val="tableData"/>
              <w:keepNext w:val="false"/>
              <w:jc w:val="center"/>
            </w:pPr>
            <w:r>
              <w:t xml:space="preserve">£459,026</w:t>
            </w:r>
          </w:p>
        </w:tc>
        <w:tc>
          <w:tcPr>
            <w:vAlign w:val="center"/>
          </w:tcPr>
          <w:p>
            <w:pPr>
              <w:pStyle w:val="tableData"/>
              <w:keepNext w:val="false"/>
              <w:jc w:val="center"/>
            </w:pPr>
            <w:r>
              <w:t xml:space="preserve">£424,754</w:t>
            </w:r>
          </w:p>
        </w:tc>
        <w:tc>
          <w:tcPr>
            <w:vAlign w:val="center"/>
          </w:tcPr>
          <w:p>
            <w:pPr>
              <w:pStyle w:val="tableData"/>
              <w:keepNext w:val="false"/>
              <w:jc w:val="center"/>
            </w:pPr>
            <w:r>
              <w:t xml:space="preserve">£388,298</w:t>
            </w:r>
          </w:p>
        </w:tc>
      </w:tr>
      <w:tr>
        <w:tc>
          <w:tcPr>
            <w:tcMar>
              <w:top w:type="dxa" w:w="0"/>
              <w:left w:type="dxa" w:w="100"/>
              <w:bottom w:type="dxa" w:w="0"/>
              <w:right w:type="dxa" w:w="0"/>
            </w:tcMar>
            <w:vAlign w:val="center"/>
          </w:tcPr>
          <w:p>
            <w:pPr>
              <w:pStyle w:val="tableData"/>
              <w:keepNext w:val="false"/>
              <w:jc w:val="left"/>
            </w:pPr>
            <w:r>
              <w:t xml:space="preserve">Semi-Detached Houses</w:t>
            </w:r>
          </w:p>
        </w:tc>
        <w:tc>
          <w:tcPr>
            <w:vAlign w:val="center"/>
          </w:tcPr>
          <w:p>
            <w:pPr>
              <w:pStyle w:val="tableData"/>
              <w:keepNext w:val="false"/>
              <w:jc w:val="center"/>
            </w:pPr>
            <w:r>
              <w:t xml:space="preserve">£255,592</w:t>
            </w:r>
          </w:p>
        </w:tc>
        <w:tc>
          <w:tcPr>
            <w:vAlign w:val="center"/>
          </w:tcPr>
          <w:p>
            <w:pPr>
              <w:pStyle w:val="tableData"/>
              <w:keepNext w:val="false"/>
              <w:jc w:val="center"/>
            </w:pPr>
            <w:r>
              <w:t xml:space="preserve">£240,113</w:t>
            </w:r>
          </w:p>
        </w:tc>
        <w:tc>
          <w:tcPr>
            <w:vAlign w:val="center"/>
          </w:tcPr>
          <w:p>
            <w:pPr>
              <w:pStyle w:val="tableData"/>
              <w:keepNext w:val="false"/>
              <w:jc w:val="center"/>
            </w:pPr>
            <w:r>
              <w:t xml:space="preserve">£226,987</w:t>
            </w:r>
          </w:p>
        </w:tc>
      </w:tr>
      <w:tr>
        <w:tc>
          <w:tcPr>
            <w:tcMar>
              <w:top w:type="dxa" w:w="0"/>
              <w:left w:type="dxa" w:w="100"/>
              <w:bottom w:type="dxa" w:w="0"/>
              <w:right w:type="dxa" w:w="0"/>
            </w:tcMar>
            <w:vAlign w:val="center"/>
          </w:tcPr>
          <w:p>
            <w:pPr>
              <w:pStyle w:val="tableData"/>
              <w:keepNext w:val="false"/>
              <w:jc w:val="left"/>
            </w:pPr>
            <w:r>
              <w:t xml:space="preserve">Terraced Houses</w:t>
            </w:r>
          </w:p>
        </w:tc>
        <w:tc>
          <w:tcPr>
            <w:vAlign w:val="center"/>
          </w:tcPr>
          <w:p>
            <w:pPr>
              <w:pStyle w:val="tableData"/>
              <w:keepNext w:val="false"/>
              <w:jc w:val="center"/>
            </w:pPr>
            <w:r>
              <w:t xml:space="preserve">£214,139</w:t>
            </w:r>
          </w:p>
        </w:tc>
        <w:tc>
          <w:tcPr>
            <w:vAlign w:val="center"/>
          </w:tcPr>
          <w:p>
            <w:pPr>
              <w:pStyle w:val="tableData"/>
              <w:keepNext w:val="false"/>
              <w:jc w:val="center"/>
            </w:pPr>
            <w:r>
              <w:t xml:space="preserve">£167,175</w:t>
            </w:r>
          </w:p>
        </w:tc>
        <w:tc>
          <w:tcPr>
            <w:vAlign w:val="center"/>
          </w:tcPr>
          <w:p>
            <w:pPr>
              <w:pStyle w:val="tableData"/>
              <w:keepNext w:val="false"/>
              <w:jc w:val="center"/>
            </w:pPr>
            <w:r>
              <w:t xml:space="preserve">£172,717</w:t>
            </w:r>
          </w:p>
        </w:tc>
      </w:tr>
      <w:tr>
        <w:tc>
          <w:tcPr>
            <w:tcMar>
              <w:top w:type="dxa" w:w="0"/>
              <w:left w:type="dxa" w:w="100"/>
              <w:bottom w:type="dxa" w:w="0"/>
              <w:right w:type="dxa" w:w="0"/>
            </w:tcMar>
            <w:vAlign w:val="center"/>
          </w:tcPr>
          <w:p>
            <w:pPr>
              <w:pStyle w:val="tableData"/>
              <w:keepNext/>
              <w:jc w:val="left"/>
            </w:pPr>
            <w:r>
              <w:t xml:space="preserve">Flats</w:t>
            </w:r>
          </w:p>
        </w:tc>
        <w:tc>
          <w:tcPr>
            <w:vAlign w:val="center"/>
          </w:tcPr>
          <w:p>
            <w:pPr>
              <w:pStyle w:val="tableData"/>
              <w:keepNext/>
              <w:jc w:val="center"/>
            </w:pPr>
            <w:r>
              <w:t xml:space="preserve">£124,278</w:t>
            </w:r>
          </w:p>
        </w:tc>
        <w:tc>
          <w:tcPr>
            <w:vAlign w:val="center"/>
          </w:tcPr>
          <w:p>
            <w:pPr>
              <w:pStyle w:val="tableData"/>
              <w:keepNext/>
              <w:jc w:val="center"/>
            </w:pPr>
            <w:r>
              <w:t xml:space="preserve">£148,988</w:t>
            </w:r>
          </w:p>
        </w:tc>
        <w:tc>
          <w:tcPr>
            <w:vAlign w:val="center"/>
          </w:tcPr>
          <w:p>
            <w:pPr>
              <w:pStyle w:val="tableData"/>
              <w:keepNext/>
              <w:jc w:val="center"/>
            </w:pPr>
            <w:r>
              <w:t xml:space="preserve">£156,173</w:t>
            </w:r>
          </w:p>
        </w:tc>
      </w:tr>
      <w:tr>
        <w:trPr>
          <w:cantSplit/>
        </w:trPr>
        <w:tc>
          <w:tcPr>
            <w:gridSpan w:val="4"/>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UK Land Registry</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Housing Tenure</w:t>
      </w:r>
      <w:r>
        <w:t xml:space="preserve"/>
      </w:r>
      <w:hyperlink w:history="1" r:id="rIdc5l9wvulzxs4tbkdnagkk">
        <w:r>
          <w:rPr>
            <w:rStyle w:val="Hyperlink"/>
          </w:rPr>
          <w:t xml:space="preserve"/>
        </w:r>
      </w:hyperlink>
      <w:r>
        <w:t xml:space="preserve"/>
      </w:r>
    </w:p>
    <w:p>
      <w:pPr>
        <w:pStyle w:val="bodyText"/>
        <w:spacing w:before="200" w:after="200"/>
      </w:pPr>
      <w:r>
        <w:t xml:space="preserve"/>
      </w:r>
      <w:hyperlink w:history="1" r:id="rIddgflrppkuixuxhwqfjhir">
        <w:r>
          <w:rPr>
            <w:rStyle w:val="Hyperlink"/>
          </w:rPr>
          <w:t xml:space="preserve"/>
        </w:r>
      </w:hyperlink>
      <w:r>
        <w:t xml:space="preserve"/>
      </w:r>
    </w:p>
    <w:p>
      <w:pPr>
        <w:pStyle w:val="bodyText"/>
        <w:spacing w:before="200" w:after="200"/>
      </w:pPr>
      <w:r>
        <w:t xml:space="preserve">The chart below provides the proportion of the housing in the area by tenure type. The tenure of a household is derived from the response to the 2021 Census question asking whether the household owns or rents its accommodation and, if rented, from the response to the question asking who is the landlord.</w:t>
      </w:r>
      <w:hyperlink w:history="1" r:id="rIdfa052gg1gxr2vkp4ps6px">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Housing Tenure</w:t>
            </w:r>
          </w:p>
        </w:tc>
      </w:tr>
      <w:tr>
        <w:trPr>
          <w:tblHeader/>
        </w:trPr>
        <w:tc>
          <w:tcPr>
            <w:vAlign w:val="center"/>
          </w:tcPr>
          <w:p>
            <w:r>
              <w:drawing>
                <wp:inline distT="0" distB="0" distL="0" distR="0">
                  <wp:extent cx="9096375" cy="4381500"/>
                  <wp:effectExtent t="0" r="0" b="0" l="0"/>
                  <wp:docPr id="1" name="Chart for Housing Tenure" descr="This chart shows Housing Tenure. A textual description is provided elsewhere in this report." title="Chart Housing Ten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Census 2021</w:t>
            </w:r>
          </w:p>
        </w:tc>
      </w:tr>
    </w:tbl>
    <w:p>
      <w:pPr>
        <w:spacing w:line="0.5" w:after="400"/>
      </w:pPr>
    </w:p>
    <w:p>
      <w:pPr>
        <w:sectPr>
          <w:footerReference w:type="default" r:id="rId11"/>
          <w:pgSz w:w="16838" w:h="11906" w:orient="landscape"/>
          <w:pgMar w:top="1270" w:right="1270" w:bottom="1270" w:left="1270" w:header="708" w:footer="708" w:gutter="0"/>
          <w:pgNumType/>
          <w:docGrid w:linePitch="360"/>
        </w:sectPr>
      </w:pPr>
    </w:p>
    <w:p>
      <w:pPr>
        <w:pStyle w:val="Heading1"/>
      </w:pPr>
      <w:bookmarkStart w:name="theme_section_3" w:id="1"/>
      <w:r>
        <w:t xml:space="preserve">Crime</w:t>
      </w:r>
      <w:bookmarkEnd w:id="1"/>
    </w:p>
    <w:p>
      <w:pPr>
        <w:pStyle w:val="bodyText"/>
        <w:spacing w:before="200" w:after="200"/>
      </w:pPr>
      <w:r>
        <w:t xml:space="preserve">The following data provides insight into the recorded crime rates in an area. The data is created using the rolling 12 month total of neighbourhood-level incidents for various types of offence as a rate per 1,000 residents. The incidents were located to the point at which they occurred and allocated to the appropriate lower super output area (LSOA). This is based on data for individual crime incidents published via the</w:t>
      </w:r>
      <w:hyperlink w:history="1" r:id="rIdakyer4e-qourhtwu8mrbk">
        <w:r>
          <w:rPr>
            <w:rStyle w:val="Hyperlink"/>
          </w:rPr>
          <w:t xml:space="preserve">Police UK open data portal </w:t>
        </w:r>
      </w:hyperlink>
      <w:r>
        <w:t xml:space="preserve">which has been linked by Local Insight to selected neighbourhoods.</w:t>
      </w:r>
    </w:p>
    <w:p>
      <w:pPr>
        <w:pStyle w:val="bodyText"/>
        <w:spacing w:before="200" w:after="200"/>
      </w:pPr>
      <w:r>
        <w:t xml:space="preserve">Please note there can be missing data in Police.uk crime counts for certain areas. This is often due to issues with IT system changes at various police forces which affects their reporting of figures to Police UK. Please see</w:t>
      </w:r>
      <w:hyperlink w:history="1" r:id="rIdqwo3ntbquephjgdj_wzk0">
        <w:r>
          <w:rPr>
            <w:rStyle w:val="Hyperlink"/>
          </w:rPr>
          <w:t xml:space="preserve">Police UK's change log </w:t>
        </w:r>
      </w:hyperlink>
      <w:r>
        <w:t xml:space="preserve">for details of current known issues.</w:t>
      </w:r>
    </w:p>
    <w:p>
      <w:pPr>
        <w:spacing w:line="0.5" w:after="2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Crime and Anti-Social Behaviour Summary</w:t>
      </w:r>
      <w:r>
        <w:t xml:space="preserve"/>
      </w:r>
      <w:hyperlink w:history="1" r:id="rId19aofxkgait-0hymvk_lr">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table below shows counts and rates for the main crime types and anti-social behaviour incidents between Mar-2025 to Feb-2026.</w:t>
      </w:r>
      <w:hyperlink w:history="1" r:id="rIdfrvkgj2igdz2zhem5p3uj">
        <w:r>
          <w:rPr>
            <w:rStyle w:val="Hyperlink"/>
          </w:rPr>
          <w:t xml:space="preserve"/>
        </w:r>
      </w:hyperlink>
      <w:r>
        <w:t xml:space="preserve"/>
      </w:r>
    </w:p>
    <w:p>
      <w:pPr>
        <w:pStyle w:val="bodyText"/>
        <w:spacing w:before="200" w:after="200"/>
      </w:pPr>
      <w:r>
        <w:t xml:space="preserve">There were 791 total crime offences in Hipperholme and Lightcliffe between Mar-2025 to Feb-2026, with the overall crime rate being 67.4 per 1,000 population. This is lower than the average across Calderdale (120.4) and lower than the average across Yorkshire and The Humber (109.0).</w:t>
      </w:r>
      <w:hyperlink w:history="1" r:id="rIdcnyec6tlt0himw43yk3v-">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1790"/>
        <w:gridCol w:w="1790"/>
        <w:gridCol w:w="1790"/>
        <w:gridCol w:w="1790"/>
        <w:gridCol w:w="1790"/>
        <w:gridCol w:w="1790"/>
      </w:tblGrid>
      <w:tr>
        <w:trPr>
          <w:tblHeader/>
          <w:trHeight w:val="600" w:hRule="atLeast"/>
        </w:trPr>
        <w:tc>
          <w:tcPr>
            <w:tcW w:type="pct" w:w="100%"/>
            <w:gridSpan w:val="7"/>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Crime and Anti-Social Behaviour Summary</w:t>
            </w:r>
          </w:p>
        </w:tc>
      </w:tr>
      <w:tr>
        <w:trPr>
          <w:tblHeader/>
        </w:trPr>
        <w:tc>
          <w:tcPr>
            <w:tcW w:type="pct" w:w="25%"/>
            <w:gridSpan w:val="1"/>
            <w:shd w:fill="3edbcf" w:color="3edbcf" w:val="solid"/>
            <w:vAlign w:val="center"/>
          </w:tcPr>
          <w:p>
            <w:pPr>
              <w:pStyle w:val="tableHeader"/>
              <w:jc w:val="center"/>
            </w:pPr>
            <w:r>
              <w:t xml:space="preserve">Indicator</w:t>
            </w:r>
          </w:p>
        </w:tc>
        <w:tc>
          <w:tcPr>
            <w:tcW w:type="pct" w:w="25%"/>
            <w:gridSpan w:val="2"/>
            <w:shd w:fill="3edbcf" w:color="3edbcf" w:val="solid"/>
            <w:vAlign w:val="center"/>
          </w:tcPr>
          <w:p>
            <w:pPr>
              <w:pStyle w:val="tableHeader"/>
              <w:jc w:val="center"/>
            </w:pPr>
            <w:r>
              <w:t xml:space="preserve">Hipperholme and Lightcliffe</w:t>
            </w:r>
          </w:p>
        </w:tc>
        <w:tc>
          <w:tcPr>
            <w:tcW w:type="pct" w:w="25%"/>
            <w:gridSpan w:val="2"/>
            <w:shd w:fill="3edbcf" w:color="3edbcf" w:val="solid"/>
            <w:vAlign w:val="center"/>
          </w:tcPr>
          <w:p>
            <w:pPr>
              <w:pStyle w:val="tableHeader"/>
              <w:jc w:val="center"/>
            </w:pPr>
            <w:r>
              <w:t xml:space="preserve">Calderdale</w:t>
            </w:r>
          </w:p>
        </w:tc>
        <w:tc>
          <w:tcPr>
            <w:tcW w:type="pct" w:w="25%"/>
            <w:gridSpan w:val="2"/>
            <w:shd w:fill="3edbcf" w:color="3edbcf" w:val="solid"/>
            <w:vAlign w:val="center"/>
          </w:tcPr>
          <w:p>
            <w:pPr>
              <w:pStyle w:val="tableHeader"/>
              <w:jc w:val="center"/>
            </w:pPr>
            <w:r>
              <w:t xml:space="preserve">Yorkshire and The Humber</w:t>
            </w:r>
          </w:p>
        </w:tc>
      </w:tr>
      <w:tr>
        <w:trPr>
          <w:tblHeader/>
        </w:trPr>
        <w:tc>
          <w:tcPr>
            <w:tcW w:type="pct" w:w="25%"/>
            <w:vAlign w:val="center"/>
          </w:tcPr>
          <w:p>
            <w:pPr>
              <w:pStyle w:val="tableHeader"/>
              <w:jc w:val="center"/>
            </w:pP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r>
      <w:tr>
        <w:tc>
          <w:tcPr>
            <w:tcW w:type="pct" w:w="25%"/>
            <w:tcMar>
              <w:top w:type="dxa" w:w="0"/>
              <w:left w:type="dxa" w:w="100"/>
              <w:bottom w:type="dxa" w:w="0"/>
              <w:right w:type="dxa" w:w="0"/>
            </w:tcMar>
            <w:vAlign w:val="center"/>
          </w:tcPr>
          <w:p>
            <w:pPr>
              <w:pStyle w:val="tableData"/>
              <w:keepNext w:val="false"/>
              <w:jc w:val="left"/>
            </w:pPr>
            <w:r>
              <w:t xml:space="preserve">Total Crime</w:t>
            </w:r>
          </w:p>
        </w:tc>
        <w:tc>
          <w:tcPr>
            <w:tcW w:type="pct" w:w="12.5%"/>
            <w:vAlign w:val="center"/>
          </w:tcPr>
          <w:p>
            <w:pPr>
              <w:pStyle w:val="tableData"/>
              <w:keepNext w:val="false"/>
              <w:jc w:val="center"/>
            </w:pPr>
            <w:r>
              <w:t xml:space="preserve">791</w:t>
            </w:r>
          </w:p>
        </w:tc>
        <w:tc>
          <w:tcPr>
            <w:tcW w:type="pct" w:w="12.5%"/>
            <w:vAlign w:val="center"/>
          </w:tcPr>
          <w:p>
            <w:pPr>
              <w:pStyle w:val="tableData"/>
              <w:keepNext w:val="false"/>
              <w:jc w:val="center"/>
            </w:pPr>
            <w:r>
              <w:t xml:space="preserve">67.4</w:t>
            </w:r>
          </w:p>
        </w:tc>
        <w:tc>
          <w:tcPr>
            <w:tcW w:type="pct" w:w="12.5%"/>
            <w:vAlign w:val="center"/>
          </w:tcPr>
          <w:p>
            <w:pPr>
              <w:pStyle w:val="tableData"/>
              <w:keepNext w:val="false"/>
              <w:jc w:val="center"/>
            </w:pPr>
            <w:r>
              <w:t xml:space="preserve">25,389</w:t>
            </w:r>
          </w:p>
        </w:tc>
        <w:tc>
          <w:tcPr>
            <w:tcW w:type="pct" w:w="12.5%"/>
            <w:vAlign w:val="center"/>
          </w:tcPr>
          <w:p>
            <w:pPr>
              <w:pStyle w:val="tableData"/>
              <w:keepNext w:val="false"/>
              <w:jc w:val="center"/>
            </w:pPr>
            <w:r>
              <w:t xml:space="preserve">120.4</w:t>
            </w:r>
          </w:p>
        </w:tc>
        <w:tc>
          <w:tcPr>
            <w:tcW w:type="pct" w:w="12.5%"/>
            <w:vAlign w:val="center"/>
          </w:tcPr>
          <w:p>
            <w:pPr>
              <w:pStyle w:val="tableData"/>
              <w:keepNext w:val="false"/>
              <w:jc w:val="center"/>
            </w:pPr>
            <w:r>
              <w:t xml:space="preserve">618,280</w:t>
            </w:r>
          </w:p>
        </w:tc>
        <w:tc>
          <w:tcPr>
            <w:tcW w:type="pct" w:w="12.5%"/>
            <w:vAlign w:val="center"/>
          </w:tcPr>
          <w:p>
            <w:pPr>
              <w:pStyle w:val="tableData"/>
              <w:keepNext w:val="false"/>
              <w:jc w:val="center"/>
            </w:pPr>
            <w:r>
              <w:t xml:space="preserve">109.0</w:t>
            </w:r>
          </w:p>
        </w:tc>
      </w:tr>
      <w:tr>
        <w:tc>
          <w:tcPr>
            <w:tcW w:type="pct" w:w="25%"/>
            <w:tcMar>
              <w:top w:type="dxa" w:w="0"/>
              <w:left w:type="dxa" w:w="100"/>
              <w:bottom w:type="dxa" w:w="0"/>
              <w:right w:type="dxa" w:w="0"/>
            </w:tcMar>
            <w:vAlign w:val="center"/>
          </w:tcPr>
          <w:p>
            <w:pPr>
              <w:pStyle w:val="tableData"/>
              <w:keepNext w:val="false"/>
              <w:jc w:val="left"/>
            </w:pPr>
            <w:r>
              <w:t xml:space="preserve">Anti-Social Behaviour</w:t>
            </w:r>
          </w:p>
        </w:tc>
        <w:tc>
          <w:tcPr>
            <w:tcW w:type="pct" w:w="12.5%"/>
            <w:vAlign w:val="center"/>
          </w:tcPr>
          <w:p>
            <w:pPr>
              <w:pStyle w:val="tableData"/>
              <w:keepNext w:val="false"/>
              <w:jc w:val="center"/>
            </w:pPr>
            <w:r>
              <w:t xml:space="preserve">111</w:t>
            </w:r>
          </w:p>
        </w:tc>
        <w:tc>
          <w:tcPr>
            <w:tcW w:type="pct" w:w="12.5%"/>
            <w:vAlign w:val="center"/>
          </w:tcPr>
          <w:p>
            <w:pPr>
              <w:pStyle w:val="tableData"/>
              <w:keepNext w:val="false"/>
              <w:jc w:val="center"/>
            </w:pPr>
            <w:r>
              <w:t xml:space="preserve">9.5</w:t>
            </w:r>
          </w:p>
        </w:tc>
        <w:tc>
          <w:tcPr>
            <w:tcW w:type="pct" w:w="12.5%"/>
            <w:vAlign w:val="center"/>
          </w:tcPr>
          <w:p>
            <w:pPr>
              <w:pStyle w:val="tableData"/>
              <w:keepNext w:val="false"/>
              <w:jc w:val="center"/>
            </w:pPr>
            <w:r>
              <w:t xml:space="preserve">2,921</w:t>
            </w:r>
          </w:p>
        </w:tc>
        <w:tc>
          <w:tcPr>
            <w:tcW w:type="pct" w:w="12.5%"/>
            <w:vAlign w:val="center"/>
          </w:tcPr>
          <w:p>
            <w:pPr>
              <w:pStyle w:val="tableData"/>
              <w:keepNext w:val="false"/>
              <w:jc w:val="center"/>
            </w:pPr>
            <w:r>
              <w:t xml:space="preserve">13.8</w:t>
            </w:r>
          </w:p>
        </w:tc>
        <w:tc>
          <w:tcPr>
            <w:tcW w:type="pct" w:w="12.5%"/>
            <w:vAlign w:val="center"/>
          </w:tcPr>
          <w:p>
            <w:pPr>
              <w:pStyle w:val="tableData"/>
              <w:keepNext w:val="false"/>
              <w:jc w:val="center"/>
            </w:pPr>
            <w:r>
              <w:t xml:space="preserve">78,306</w:t>
            </w:r>
          </w:p>
        </w:tc>
        <w:tc>
          <w:tcPr>
            <w:tcW w:type="pct" w:w="12.5%"/>
            <w:vAlign w:val="center"/>
          </w:tcPr>
          <w:p>
            <w:pPr>
              <w:pStyle w:val="tableData"/>
              <w:keepNext w:val="false"/>
              <w:jc w:val="center"/>
            </w:pPr>
            <w:r>
              <w:t xml:space="preserve">13.8</w:t>
            </w:r>
          </w:p>
        </w:tc>
      </w:tr>
      <w:tr>
        <w:tc>
          <w:tcPr>
            <w:tcW w:type="pct" w:w="25%"/>
            <w:tcMar>
              <w:top w:type="dxa" w:w="0"/>
              <w:left w:type="dxa" w:w="100"/>
              <w:bottom w:type="dxa" w:w="0"/>
              <w:right w:type="dxa" w:w="0"/>
            </w:tcMar>
            <w:vAlign w:val="center"/>
          </w:tcPr>
          <w:p>
            <w:pPr>
              <w:pStyle w:val="tableData"/>
              <w:keepNext w:val="false"/>
              <w:jc w:val="left"/>
            </w:pPr>
            <w:r>
              <w:t xml:space="preserve">Bicycle Theft</w:t>
            </w:r>
          </w:p>
        </w:tc>
        <w:tc>
          <w:tcPr>
            <w:tcW w:type="pct" w:w="12.5%"/>
            <w:vAlign w:val="center"/>
          </w:tcPr>
          <w:p>
            <w:pPr>
              <w:pStyle w:val="tableData"/>
              <w:keepNext w:val="false"/>
              <w:jc w:val="center"/>
            </w:pPr>
            <w:r>
              <w:t xml:space="preserve">2</w:t>
            </w:r>
          </w:p>
        </w:tc>
        <w:tc>
          <w:tcPr>
            <w:tcW w:type="pct" w:w="12.5%"/>
            <w:vAlign w:val="center"/>
          </w:tcPr>
          <w:p>
            <w:pPr>
              <w:pStyle w:val="tableData"/>
              <w:keepNext w:val="false"/>
              <w:jc w:val="center"/>
            </w:pPr>
            <w:r>
              <w:t xml:space="preserve">0.2</w:t>
            </w:r>
          </w:p>
        </w:tc>
        <w:tc>
          <w:tcPr>
            <w:tcW w:type="pct" w:w="12.5%"/>
            <w:vAlign w:val="center"/>
          </w:tcPr>
          <w:p>
            <w:pPr>
              <w:pStyle w:val="tableData"/>
              <w:keepNext w:val="false"/>
              <w:jc w:val="center"/>
            </w:pPr>
            <w:r>
              <w:t xml:space="preserve">79</w:t>
            </w:r>
          </w:p>
        </w:tc>
        <w:tc>
          <w:tcPr>
            <w:tcW w:type="pct" w:w="12.5%"/>
            <w:vAlign w:val="center"/>
          </w:tcPr>
          <w:p>
            <w:pPr>
              <w:pStyle w:val="tableData"/>
              <w:keepNext w:val="false"/>
              <w:jc w:val="center"/>
            </w:pPr>
            <w:r>
              <w:t xml:space="preserve">0.4</w:t>
            </w:r>
          </w:p>
        </w:tc>
        <w:tc>
          <w:tcPr>
            <w:tcW w:type="pct" w:w="12.5%"/>
            <w:vAlign w:val="center"/>
          </w:tcPr>
          <w:p>
            <w:pPr>
              <w:pStyle w:val="tableData"/>
              <w:keepNext w:val="false"/>
              <w:jc w:val="center"/>
            </w:pPr>
            <w:r>
              <w:t xml:space="preserve">4,392</w:t>
            </w:r>
          </w:p>
        </w:tc>
        <w:tc>
          <w:tcPr>
            <w:tcW w:type="pct" w:w="12.5%"/>
            <w:vAlign w:val="center"/>
          </w:tcPr>
          <w:p>
            <w:pPr>
              <w:pStyle w:val="tableData"/>
              <w:keepNext w:val="false"/>
              <w:jc w:val="center"/>
            </w:pPr>
            <w:r>
              <w:t xml:space="preserve">0.8</w:t>
            </w:r>
          </w:p>
        </w:tc>
      </w:tr>
      <w:tr>
        <w:tc>
          <w:tcPr>
            <w:tcW w:type="pct" w:w="25%"/>
            <w:tcMar>
              <w:top w:type="dxa" w:w="0"/>
              <w:left w:type="dxa" w:w="100"/>
              <w:bottom w:type="dxa" w:w="0"/>
              <w:right w:type="dxa" w:w="0"/>
            </w:tcMar>
            <w:vAlign w:val="center"/>
          </w:tcPr>
          <w:p>
            <w:pPr>
              <w:pStyle w:val="tableData"/>
              <w:keepNext w:val="false"/>
              <w:jc w:val="left"/>
            </w:pPr>
            <w:r>
              <w:t xml:space="preserve">Burglary</w:t>
            </w:r>
          </w:p>
        </w:tc>
        <w:tc>
          <w:tcPr>
            <w:tcW w:type="pct" w:w="12.5%"/>
            <w:vAlign w:val="center"/>
          </w:tcPr>
          <w:p>
            <w:pPr>
              <w:pStyle w:val="tableData"/>
              <w:keepNext w:val="false"/>
              <w:jc w:val="center"/>
            </w:pPr>
            <w:r>
              <w:t xml:space="preserve">39</w:t>
            </w:r>
          </w:p>
        </w:tc>
        <w:tc>
          <w:tcPr>
            <w:tcW w:type="pct" w:w="12.5%"/>
            <w:vAlign w:val="center"/>
          </w:tcPr>
          <w:p>
            <w:pPr>
              <w:pStyle w:val="tableData"/>
              <w:keepNext w:val="false"/>
              <w:jc w:val="center"/>
            </w:pPr>
            <w:r>
              <w:t xml:space="preserve">7.7</w:t>
            </w:r>
          </w:p>
        </w:tc>
        <w:tc>
          <w:tcPr>
            <w:tcW w:type="pct" w:w="12.5%"/>
            <w:vAlign w:val="center"/>
          </w:tcPr>
          <w:p>
            <w:pPr>
              <w:pStyle w:val="tableData"/>
              <w:keepNext w:val="false"/>
              <w:jc w:val="center"/>
            </w:pPr>
            <w:r>
              <w:t xml:space="preserve">1,158</w:t>
            </w:r>
          </w:p>
        </w:tc>
        <w:tc>
          <w:tcPr>
            <w:tcW w:type="pct" w:w="12.5%"/>
            <w:vAlign w:val="center"/>
          </w:tcPr>
          <w:p>
            <w:pPr>
              <w:pStyle w:val="tableData"/>
              <w:keepNext w:val="false"/>
              <w:jc w:val="center"/>
            </w:pPr>
            <w:r>
              <w:t xml:space="preserve">12.8</w:t>
            </w:r>
          </w:p>
        </w:tc>
        <w:tc>
          <w:tcPr>
            <w:tcW w:type="pct" w:w="12.5%"/>
            <w:vAlign w:val="center"/>
          </w:tcPr>
          <w:p>
            <w:pPr>
              <w:pStyle w:val="tableData"/>
              <w:keepNext w:val="false"/>
              <w:jc w:val="center"/>
            </w:pPr>
            <w:r>
              <w:t xml:space="preserve">27,962</w:t>
            </w:r>
          </w:p>
        </w:tc>
        <w:tc>
          <w:tcPr>
            <w:tcW w:type="pct" w:w="12.5%"/>
            <w:vAlign w:val="center"/>
          </w:tcPr>
          <w:p>
            <w:pPr>
              <w:pStyle w:val="tableData"/>
              <w:keepNext w:val="false"/>
              <w:jc w:val="center"/>
            </w:pPr>
            <w:r>
              <w:t xml:space="preserve">12.0</w:t>
            </w:r>
          </w:p>
        </w:tc>
      </w:tr>
      <w:tr>
        <w:tc>
          <w:tcPr>
            <w:tcW w:type="pct" w:w="25%"/>
            <w:tcMar>
              <w:top w:type="dxa" w:w="0"/>
              <w:left w:type="dxa" w:w="100"/>
              <w:bottom w:type="dxa" w:w="0"/>
              <w:right w:type="dxa" w:w="0"/>
            </w:tcMar>
            <w:vAlign w:val="center"/>
          </w:tcPr>
          <w:p>
            <w:pPr>
              <w:pStyle w:val="tableData"/>
              <w:keepNext w:val="false"/>
              <w:jc w:val="left"/>
            </w:pPr>
            <w:r>
              <w:t xml:space="preserve">Criminal Damage</w:t>
            </w:r>
          </w:p>
        </w:tc>
        <w:tc>
          <w:tcPr>
            <w:tcW w:type="pct" w:w="12.5%"/>
            <w:vAlign w:val="center"/>
          </w:tcPr>
          <w:p>
            <w:pPr>
              <w:pStyle w:val="tableData"/>
              <w:keepNext w:val="false"/>
              <w:jc w:val="center"/>
            </w:pPr>
            <w:r>
              <w:t xml:space="preserve">51</w:t>
            </w:r>
          </w:p>
        </w:tc>
        <w:tc>
          <w:tcPr>
            <w:tcW w:type="pct" w:w="12.5%"/>
            <w:vAlign w:val="center"/>
          </w:tcPr>
          <w:p>
            <w:pPr>
              <w:pStyle w:val="tableData"/>
              <w:keepNext w:val="false"/>
              <w:jc w:val="center"/>
            </w:pPr>
            <w:r>
              <w:t xml:space="preserve">4.4</w:t>
            </w:r>
          </w:p>
        </w:tc>
        <w:tc>
          <w:tcPr>
            <w:tcW w:type="pct" w:w="12.5%"/>
            <w:vAlign w:val="center"/>
          </w:tcPr>
          <w:p>
            <w:pPr>
              <w:pStyle w:val="tableData"/>
              <w:keepNext w:val="false"/>
              <w:jc w:val="center"/>
            </w:pPr>
            <w:r>
              <w:t xml:space="preserve">1,839</w:t>
            </w:r>
          </w:p>
        </w:tc>
        <w:tc>
          <w:tcPr>
            <w:tcW w:type="pct" w:w="12.5%"/>
            <w:vAlign w:val="center"/>
          </w:tcPr>
          <w:p>
            <w:pPr>
              <w:pStyle w:val="tableData"/>
              <w:keepNext w:val="false"/>
              <w:jc w:val="center"/>
            </w:pPr>
            <w:r>
              <w:t xml:space="preserve">8.7</w:t>
            </w:r>
          </w:p>
        </w:tc>
        <w:tc>
          <w:tcPr>
            <w:tcW w:type="pct" w:w="12.5%"/>
            <w:vAlign w:val="center"/>
          </w:tcPr>
          <w:p>
            <w:pPr>
              <w:pStyle w:val="tableData"/>
              <w:keepNext w:val="false"/>
              <w:jc w:val="center"/>
            </w:pPr>
            <w:r>
              <w:t xml:space="preserve">47,133</w:t>
            </w:r>
          </w:p>
        </w:tc>
        <w:tc>
          <w:tcPr>
            <w:tcW w:type="pct" w:w="12.5%"/>
            <w:vAlign w:val="center"/>
          </w:tcPr>
          <w:p>
            <w:pPr>
              <w:pStyle w:val="tableData"/>
              <w:keepNext w:val="false"/>
              <w:jc w:val="center"/>
            </w:pPr>
            <w:r>
              <w:t xml:space="preserve">8.3</w:t>
            </w:r>
          </w:p>
        </w:tc>
      </w:tr>
      <w:tr>
        <w:tc>
          <w:tcPr>
            <w:tcW w:type="pct" w:w="25%"/>
            <w:tcMar>
              <w:top w:type="dxa" w:w="0"/>
              <w:left w:type="dxa" w:w="100"/>
              <w:bottom w:type="dxa" w:w="0"/>
              <w:right w:type="dxa" w:w="0"/>
            </w:tcMar>
            <w:vAlign w:val="center"/>
          </w:tcPr>
          <w:p>
            <w:pPr>
              <w:pStyle w:val="tableData"/>
              <w:keepNext w:val="false"/>
              <w:jc w:val="left"/>
            </w:pPr>
            <w:r>
              <w:t xml:space="preserve">Drug Crime</w:t>
            </w:r>
          </w:p>
        </w:tc>
        <w:tc>
          <w:tcPr>
            <w:tcW w:type="pct" w:w="12.5%"/>
            <w:vAlign w:val="center"/>
          </w:tcPr>
          <w:p>
            <w:pPr>
              <w:pStyle w:val="tableData"/>
              <w:keepNext w:val="false"/>
              <w:jc w:val="center"/>
            </w:pPr>
            <w:r>
              <w:t xml:space="preserve">11</w:t>
            </w:r>
          </w:p>
        </w:tc>
        <w:tc>
          <w:tcPr>
            <w:tcW w:type="pct" w:w="12.5%"/>
            <w:vAlign w:val="center"/>
          </w:tcPr>
          <w:p>
            <w:pPr>
              <w:pStyle w:val="tableData"/>
              <w:keepNext w:val="false"/>
              <w:jc w:val="center"/>
            </w:pPr>
            <w:r>
              <w:t xml:space="preserve">0.9</w:t>
            </w:r>
          </w:p>
        </w:tc>
        <w:tc>
          <w:tcPr>
            <w:tcW w:type="pct" w:w="12.5%"/>
            <w:vAlign w:val="center"/>
          </w:tcPr>
          <w:p>
            <w:pPr>
              <w:pStyle w:val="tableData"/>
              <w:keepNext w:val="false"/>
              <w:jc w:val="center"/>
            </w:pPr>
            <w:r>
              <w:t xml:space="preserve">954</w:t>
            </w:r>
          </w:p>
        </w:tc>
        <w:tc>
          <w:tcPr>
            <w:tcW w:type="pct" w:w="12.5%"/>
            <w:vAlign w:val="center"/>
          </w:tcPr>
          <w:p>
            <w:pPr>
              <w:pStyle w:val="tableData"/>
              <w:keepNext w:val="false"/>
              <w:jc w:val="center"/>
            </w:pPr>
            <w:r>
              <w:t xml:space="preserve">4.5</w:t>
            </w:r>
          </w:p>
        </w:tc>
        <w:tc>
          <w:tcPr>
            <w:tcW w:type="pct" w:w="12.5%"/>
            <w:vAlign w:val="center"/>
          </w:tcPr>
          <w:p>
            <w:pPr>
              <w:pStyle w:val="tableData"/>
              <w:keepNext w:val="false"/>
              <w:jc w:val="center"/>
            </w:pPr>
            <w:r>
              <w:t xml:space="preserve">19,682</w:t>
            </w:r>
          </w:p>
        </w:tc>
        <w:tc>
          <w:tcPr>
            <w:tcW w:type="pct" w:w="12.5%"/>
            <w:vAlign w:val="center"/>
          </w:tcPr>
          <w:p>
            <w:pPr>
              <w:pStyle w:val="tableData"/>
              <w:keepNext w:val="false"/>
              <w:jc w:val="center"/>
            </w:pPr>
            <w:r>
              <w:t xml:space="preserve">3.5</w:t>
            </w:r>
          </w:p>
        </w:tc>
      </w:tr>
      <w:tr>
        <w:tc>
          <w:tcPr>
            <w:tcW w:type="pct" w:w="25%"/>
            <w:tcMar>
              <w:top w:type="dxa" w:w="0"/>
              <w:left w:type="dxa" w:w="100"/>
              <w:bottom w:type="dxa" w:w="0"/>
              <w:right w:type="dxa" w:w="0"/>
            </w:tcMar>
            <w:vAlign w:val="center"/>
          </w:tcPr>
          <w:p>
            <w:pPr>
              <w:pStyle w:val="tableData"/>
              <w:keepNext w:val="false"/>
              <w:jc w:val="left"/>
            </w:pPr>
            <w:r>
              <w:t xml:space="preserve">Other Crime</w:t>
            </w:r>
          </w:p>
        </w:tc>
        <w:tc>
          <w:tcPr>
            <w:tcW w:type="pct" w:w="12.5%"/>
            <w:vAlign w:val="center"/>
          </w:tcPr>
          <w:p>
            <w:pPr>
              <w:pStyle w:val="tableData"/>
              <w:keepNext w:val="false"/>
              <w:jc w:val="center"/>
            </w:pPr>
            <w:r>
              <w:t xml:space="preserve">25</w:t>
            </w:r>
          </w:p>
        </w:tc>
        <w:tc>
          <w:tcPr>
            <w:tcW w:type="pct" w:w="12.5%"/>
            <w:vAlign w:val="center"/>
          </w:tcPr>
          <w:p>
            <w:pPr>
              <w:pStyle w:val="tableData"/>
              <w:keepNext w:val="false"/>
              <w:jc w:val="center"/>
            </w:pPr>
            <w:r>
              <w:t xml:space="preserve">2.1</w:t>
            </w:r>
          </w:p>
        </w:tc>
        <w:tc>
          <w:tcPr>
            <w:tcW w:type="pct" w:w="12.5%"/>
            <w:vAlign w:val="center"/>
          </w:tcPr>
          <w:p>
            <w:pPr>
              <w:pStyle w:val="tableData"/>
              <w:keepNext w:val="false"/>
              <w:jc w:val="center"/>
            </w:pPr>
            <w:r>
              <w:t xml:space="preserve">841</w:t>
            </w:r>
          </w:p>
        </w:tc>
        <w:tc>
          <w:tcPr>
            <w:tcW w:type="pct" w:w="12.5%"/>
            <w:vAlign w:val="center"/>
          </w:tcPr>
          <w:p>
            <w:pPr>
              <w:pStyle w:val="tableData"/>
              <w:keepNext w:val="false"/>
              <w:jc w:val="center"/>
            </w:pPr>
            <w:r>
              <w:t xml:space="preserve">4.0</w:t>
            </w:r>
          </w:p>
        </w:tc>
        <w:tc>
          <w:tcPr>
            <w:tcW w:type="pct" w:w="12.5%"/>
            <w:vAlign w:val="center"/>
          </w:tcPr>
          <w:p>
            <w:pPr>
              <w:pStyle w:val="tableData"/>
              <w:keepNext w:val="false"/>
              <w:jc w:val="center"/>
            </w:pPr>
            <w:r>
              <w:t xml:space="preserve">18,330</w:t>
            </w:r>
          </w:p>
        </w:tc>
        <w:tc>
          <w:tcPr>
            <w:tcW w:type="pct" w:w="12.5%"/>
            <w:vAlign w:val="center"/>
          </w:tcPr>
          <w:p>
            <w:pPr>
              <w:pStyle w:val="tableData"/>
              <w:keepNext w:val="false"/>
              <w:jc w:val="center"/>
            </w:pPr>
            <w:r>
              <w:t xml:space="preserve">3.2</w:t>
            </w:r>
          </w:p>
        </w:tc>
      </w:tr>
      <w:tr>
        <w:tc>
          <w:tcPr>
            <w:tcW w:type="pct" w:w="25%"/>
            <w:tcMar>
              <w:top w:type="dxa" w:w="0"/>
              <w:left w:type="dxa" w:w="100"/>
              <w:bottom w:type="dxa" w:w="0"/>
              <w:right w:type="dxa" w:w="0"/>
            </w:tcMar>
            <w:vAlign w:val="center"/>
          </w:tcPr>
          <w:p>
            <w:pPr>
              <w:pStyle w:val="tableData"/>
              <w:keepNext w:val="false"/>
              <w:jc w:val="left"/>
            </w:pPr>
            <w:r>
              <w:t xml:space="preserve">Other Theft</w:t>
            </w:r>
          </w:p>
        </w:tc>
        <w:tc>
          <w:tcPr>
            <w:tcW w:type="pct" w:w="12.5%"/>
            <w:vAlign w:val="center"/>
          </w:tcPr>
          <w:p>
            <w:pPr>
              <w:pStyle w:val="tableData"/>
              <w:keepNext w:val="false"/>
              <w:jc w:val="center"/>
            </w:pPr>
            <w:r>
              <w:t xml:space="preserve">45</w:t>
            </w:r>
          </w:p>
        </w:tc>
        <w:tc>
          <w:tcPr>
            <w:tcW w:type="pct" w:w="12.5%"/>
            <w:vAlign w:val="center"/>
          </w:tcPr>
          <w:p>
            <w:pPr>
              <w:pStyle w:val="tableData"/>
              <w:keepNext w:val="false"/>
              <w:jc w:val="center"/>
            </w:pPr>
            <w:r>
              <w:t xml:space="preserve">3.8</w:t>
            </w:r>
          </w:p>
        </w:tc>
        <w:tc>
          <w:tcPr>
            <w:tcW w:type="pct" w:w="12.5%"/>
            <w:vAlign w:val="center"/>
          </w:tcPr>
          <w:p>
            <w:pPr>
              <w:pStyle w:val="tableData"/>
              <w:keepNext w:val="false"/>
              <w:jc w:val="center"/>
            </w:pPr>
            <w:r>
              <w:t xml:space="preserve">1,475</w:t>
            </w:r>
          </w:p>
        </w:tc>
        <w:tc>
          <w:tcPr>
            <w:tcW w:type="pct" w:w="12.5%"/>
            <w:vAlign w:val="center"/>
          </w:tcPr>
          <w:p>
            <w:pPr>
              <w:pStyle w:val="tableData"/>
              <w:keepNext w:val="false"/>
              <w:jc w:val="center"/>
            </w:pPr>
            <w:r>
              <w:t xml:space="preserve">7.0</w:t>
            </w:r>
          </w:p>
        </w:tc>
        <w:tc>
          <w:tcPr>
            <w:tcW w:type="pct" w:w="12.5%"/>
            <w:vAlign w:val="center"/>
          </w:tcPr>
          <w:p>
            <w:pPr>
              <w:pStyle w:val="tableData"/>
              <w:keepNext w:val="false"/>
              <w:jc w:val="center"/>
            </w:pPr>
            <w:r>
              <w:t xml:space="preserve">36,437</w:t>
            </w:r>
          </w:p>
        </w:tc>
        <w:tc>
          <w:tcPr>
            <w:tcW w:type="pct" w:w="12.5%"/>
            <w:vAlign w:val="center"/>
          </w:tcPr>
          <w:p>
            <w:pPr>
              <w:pStyle w:val="tableData"/>
              <w:keepNext w:val="false"/>
              <w:jc w:val="center"/>
            </w:pPr>
            <w:r>
              <w:t xml:space="preserve">6.4</w:t>
            </w:r>
          </w:p>
        </w:tc>
      </w:tr>
      <w:tr>
        <w:tc>
          <w:tcPr>
            <w:tcW w:type="pct" w:w="25%"/>
            <w:tcMar>
              <w:top w:type="dxa" w:w="0"/>
              <w:left w:type="dxa" w:w="100"/>
              <w:bottom w:type="dxa" w:w="0"/>
              <w:right w:type="dxa" w:w="0"/>
            </w:tcMar>
            <w:vAlign w:val="center"/>
          </w:tcPr>
          <w:p>
            <w:pPr>
              <w:pStyle w:val="tableData"/>
              <w:keepNext w:val="false"/>
              <w:jc w:val="left"/>
            </w:pPr>
            <w:r>
              <w:t xml:space="preserve">Shoplifting</w:t>
            </w:r>
          </w:p>
        </w:tc>
        <w:tc>
          <w:tcPr>
            <w:tcW w:type="pct" w:w="12.5%"/>
            <w:vAlign w:val="center"/>
          </w:tcPr>
          <w:p>
            <w:pPr>
              <w:pStyle w:val="tableData"/>
              <w:keepNext w:val="false"/>
              <w:jc w:val="center"/>
            </w:pPr>
            <w:r>
              <w:t xml:space="preserve">86</w:t>
            </w:r>
          </w:p>
        </w:tc>
        <w:tc>
          <w:tcPr>
            <w:tcW w:type="pct" w:w="12.5%"/>
            <w:vAlign w:val="center"/>
          </w:tcPr>
          <w:p>
            <w:pPr>
              <w:pStyle w:val="tableData"/>
              <w:keepNext w:val="false"/>
              <w:jc w:val="center"/>
            </w:pPr>
            <w:r>
              <w:t xml:space="preserve">7.3</w:t>
            </w:r>
          </w:p>
        </w:tc>
        <w:tc>
          <w:tcPr>
            <w:tcW w:type="pct" w:w="12.5%"/>
            <w:vAlign w:val="center"/>
          </w:tcPr>
          <w:p>
            <w:pPr>
              <w:pStyle w:val="tableData"/>
              <w:keepNext w:val="false"/>
              <w:jc w:val="center"/>
            </w:pPr>
            <w:r>
              <w:t xml:space="preserve">1,437</w:t>
            </w:r>
          </w:p>
        </w:tc>
        <w:tc>
          <w:tcPr>
            <w:tcW w:type="pct" w:w="12.5%"/>
            <w:vAlign w:val="center"/>
          </w:tcPr>
          <w:p>
            <w:pPr>
              <w:pStyle w:val="tableData"/>
              <w:keepNext w:val="false"/>
              <w:jc w:val="center"/>
            </w:pPr>
            <w:r>
              <w:t xml:space="preserve">6.8</w:t>
            </w:r>
          </w:p>
        </w:tc>
        <w:tc>
          <w:tcPr>
            <w:tcW w:type="pct" w:w="12.5%"/>
            <w:vAlign w:val="center"/>
          </w:tcPr>
          <w:p>
            <w:pPr>
              <w:pStyle w:val="tableData"/>
              <w:keepNext w:val="false"/>
              <w:jc w:val="center"/>
            </w:pPr>
            <w:r>
              <w:t xml:space="preserve">48,034</w:t>
            </w:r>
          </w:p>
        </w:tc>
        <w:tc>
          <w:tcPr>
            <w:tcW w:type="pct" w:w="12.5%"/>
            <w:vAlign w:val="center"/>
          </w:tcPr>
          <w:p>
            <w:pPr>
              <w:pStyle w:val="tableData"/>
              <w:keepNext w:val="false"/>
              <w:jc w:val="center"/>
            </w:pPr>
            <w:r>
              <w:t xml:space="preserve">8.5</w:t>
            </w:r>
          </w:p>
        </w:tc>
      </w:tr>
      <w:tr>
        <w:tc>
          <w:tcPr>
            <w:tcW w:type="pct" w:w="25%"/>
            <w:tcMar>
              <w:top w:type="dxa" w:w="0"/>
              <w:left w:type="dxa" w:w="100"/>
              <w:bottom w:type="dxa" w:w="0"/>
              <w:right w:type="dxa" w:w="0"/>
            </w:tcMar>
            <w:vAlign w:val="center"/>
          </w:tcPr>
          <w:p>
            <w:pPr>
              <w:pStyle w:val="tableData"/>
              <w:keepNext w:val="false"/>
              <w:jc w:val="left"/>
            </w:pPr>
            <w:r>
              <w:t xml:space="preserve">Possession of Weapons</w:t>
            </w:r>
          </w:p>
        </w:tc>
        <w:tc>
          <w:tcPr>
            <w:tcW w:type="pct" w:w="12.5%"/>
            <w:vAlign w:val="center"/>
          </w:tcPr>
          <w:p>
            <w:pPr>
              <w:pStyle w:val="tableData"/>
              <w:keepNext w:val="false"/>
              <w:jc w:val="center"/>
            </w:pPr>
            <w:r>
              <w:t xml:space="preserve">4</w:t>
            </w:r>
          </w:p>
        </w:tc>
        <w:tc>
          <w:tcPr>
            <w:tcW w:type="pct" w:w="12.5%"/>
            <w:vAlign w:val="center"/>
          </w:tcPr>
          <w:p>
            <w:pPr>
              <w:pStyle w:val="tableData"/>
              <w:keepNext w:val="false"/>
              <w:jc w:val="center"/>
            </w:pPr>
            <w:r>
              <w:t xml:space="preserve">0.3</w:t>
            </w:r>
          </w:p>
        </w:tc>
        <w:tc>
          <w:tcPr>
            <w:tcW w:type="pct" w:w="12.5%"/>
            <w:vAlign w:val="center"/>
          </w:tcPr>
          <w:p>
            <w:pPr>
              <w:pStyle w:val="tableData"/>
              <w:keepNext w:val="false"/>
              <w:jc w:val="center"/>
            </w:pPr>
            <w:r>
              <w:t xml:space="preserve">185</w:t>
            </w:r>
          </w:p>
        </w:tc>
        <w:tc>
          <w:tcPr>
            <w:tcW w:type="pct" w:w="12.5%"/>
            <w:vAlign w:val="center"/>
          </w:tcPr>
          <w:p>
            <w:pPr>
              <w:pStyle w:val="tableData"/>
              <w:keepNext w:val="false"/>
              <w:jc w:val="center"/>
            </w:pPr>
            <w:r>
              <w:t xml:space="preserve">0.9</w:t>
            </w:r>
          </w:p>
        </w:tc>
        <w:tc>
          <w:tcPr>
            <w:tcW w:type="pct" w:w="12.5%"/>
            <w:vAlign w:val="center"/>
          </w:tcPr>
          <w:p>
            <w:pPr>
              <w:pStyle w:val="tableData"/>
              <w:keepNext w:val="false"/>
              <w:jc w:val="center"/>
            </w:pPr>
            <w:r>
              <w:t xml:space="preserve">5,862</w:t>
            </w:r>
          </w:p>
        </w:tc>
        <w:tc>
          <w:tcPr>
            <w:tcW w:type="pct" w:w="12.5%"/>
            <w:vAlign w:val="center"/>
          </w:tcPr>
          <w:p>
            <w:pPr>
              <w:pStyle w:val="tableData"/>
              <w:keepNext w:val="false"/>
              <w:jc w:val="center"/>
            </w:pPr>
            <w:r>
              <w:t xml:space="preserve">1.0</w:t>
            </w:r>
          </w:p>
        </w:tc>
      </w:tr>
      <w:tr>
        <w:tc>
          <w:tcPr>
            <w:tcW w:type="pct" w:w="25%"/>
            <w:tcMar>
              <w:top w:type="dxa" w:w="0"/>
              <w:left w:type="dxa" w:w="100"/>
              <w:bottom w:type="dxa" w:w="0"/>
              <w:right w:type="dxa" w:w="0"/>
            </w:tcMar>
            <w:vAlign w:val="center"/>
          </w:tcPr>
          <w:p>
            <w:pPr>
              <w:pStyle w:val="tableData"/>
              <w:keepNext w:val="false"/>
              <w:jc w:val="left"/>
            </w:pPr>
            <w:r>
              <w:t xml:space="preserve">Public Order</w:t>
            </w:r>
          </w:p>
        </w:tc>
        <w:tc>
          <w:tcPr>
            <w:tcW w:type="pct" w:w="12.5%"/>
            <w:vAlign w:val="center"/>
          </w:tcPr>
          <w:p>
            <w:pPr>
              <w:pStyle w:val="tableData"/>
              <w:keepNext w:val="false"/>
              <w:jc w:val="center"/>
            </w:pPr>
            <w:r>
              <w:t xml:space="preserve">57</w:t>
            </w:r>
          </w:p>
        </w:tc>
        <w:tc>
          <w:tcPr>
            <w:tcW w:type="pct" w:w="12.5%"/>
            <w:vAlign w:val="center"/>
          </w:tcPr>
          <w:p>
            <w:pPr>
              <w:pStyle w:val="tableData"/>
              <w:keepNext w:val="false"/>
              <w:jc w:val="center"/>
            </w:pPr>
            <w:r>
              <w:t xml:space="preserve">4.9</w:t>
            </w:r>
          </w:p>
        </w:tc>
        <w:tc>
          <w:tcPr>
            <w:tcW w:type="pct" w:w="12.5%"/>
            <w:vAlign w:val="center"/>
          </w:tcPr>
          <w:p>
            <w:pPr>
              <w:pStyle w:val="tableData"/>
              <w:keepNext w:val="false"/>
              <w:jc w:val="center"/>
            </w:pPr>
            <w:r>
              <w:t xml:space="preserve">2,282</w:t>
            </w:r>
          </w:p>
        </w:tc>
        <w:tc>
          <w:tcPr>
            <w:tcW w:type="pct" w:w="12.5%"/>
            <w:vAlign w:val="center"/>
          </w:tcPr>
          <w:p>
            <w:pPr>
              <w:pStyle w:val="tableData"/>
              <w:keepNext w:val="false"/>
              <w:jc w:val="center"/>
            </w:pPr>
            <w:r>
              <w:t xml:space="preserve">10.8</w:t>
            </w:r>
          </w:p>
        </w:tc>
        <w:tc>
          <w:tcPr>
            <w:tcW w:type="pct" w:w="12.5%"/>
            <w:vAlign w:val="center"/>
          </w:tcPr>
          <w:p>
            <w:pPr>
              <w:pStyle w:val="tableData"/>
              <w:keepNext w:val="false"/>
              <w:jc w:val="center"/>
            </w:pPr>
            <w:r>
              <w:t xml:space="preserve">48,409</w:t>
            </w:r>
          </w:p>
        </w:tc>
        <w:tc>
          <w:tcPr>
            <w:tcW w:type="pct" w:w="12.5%"/>
            <w:vAlign w:val="center"/>
          </w:tcPr>
          <w:p>
            <w:pPr>
              <w:pStyle w:val="tableData"/>
              <w:keepNext w:val="false"/>
              <w:jc w:val="center"/>
            </w:pPr>
            <w:r>
              <w:t xml:space="preserve">8.5</w:t>
            </w:r>
          </w:p>
        </w:tc>
      </w:tr>
      <w:tr>
        <w:tc>
          <w:tcPr>
            <w:tcW w:type="pct" w:w="25%"/>
            <w:tcMar>
              <w:top w:type="dxa" w:w="0"/>
              <w:left w:type="dxa" w:w="100"/>
              <w:bottom w:type="dxa" w:w="0"/>
              <w:right w:type="dxa" w:w="0"/>
            </w:tcMar>
            <w:vAlign w:val="center"/>
          </w:tcPr>
          <w:p>
            <w:pPr>
              <w:pStyle w:val="tableData"/>
              <w:keepNext w:val="false"/>
              <w:jc w:val="left"/>
            </w:pPr>
            <w:r>
              <w:t xml:space="preserve">Robbery</w:t>
            </w:r>
          </w:p>
        </w:tc>
        <w:tc>
          <w:tcPr>
            <w:tcW w:type="pct" w:w="12.5%"/>
            <w:vAlign w:val="center"/>
          </w:tcPr>
          <w:p>
            <w:pPr>
              <w:pStyle w:val="tableData"/>
              <w:keepNext w:val="false"/>
              <w:jc w:val="center"/>
            </w:pPr>
            <w:r>
              <w:t xml:space="preserve">6</w:t>
            </w:r>
          </w:p>
        </w:tc>
        <w:tc>
          <w:tcPr>
            <w:tcW w:type="pct" w:w="12.5%"/>
            <w:vAlign w:val="center"/>
          </w:tcPr>
          <w:p>
            <w:pPr>
              <w:pStyle w:val="tableData"/>
              <w:keepNext w:val="false"/>
              <w:jc w:val="center"/>
            </w:pPr>
            <w:r>
              <w:t xml:space="preserve">0.5</w:t>
            </w:r>
          </w:p>
        </w:tc>
        <w:tc>
          <w:tcPr>
            <w:tcW w:type="pct" w:w="12.5%"/>
            <w:vAlign w:val="center"/>
          </w:tcPr>
          <w:p>
            <w:pPr>
              <w:pStyle w:val="tableData"/>
              <w:keepNext w:val="false"/>
              <w:jc w:val="center"/>
            </w:pPr>
            <w:r>
              <w:t xml:space="preserve">228</w:t>
            </w:r>
          </w:p>
        </w:tc>
        <w:tc>
          <w:tcPr>
            <w:tcW w:type="pct" w:w="12.5%"/>
            <w:vAlign w:val="center"/>
          </w:tcPr>
          <w:p>
            <w:pPr>
              <w:pStyle w:val="tableData"/>
              <w:keepNext w:val="false"/>
              <w:jc w:val="center"/>
            </w:pPr>
            <w:r>
              <w:t xml:space="preserve">1.1</w:t>
            </w:r>
          </w:p>
        </w:tc>
        <w:tc>
          <w:tcPr>
            <w:tcW w:type="pct" w:w="12.5%"/>
            <w:vAlign w:val="center"/>
          </w:tcPr>
          <w:p>
            <w:pPr>
              <w:pStyle w:val="tableData"/>
              <w:keepNext w:val="false"/>
              <w:jc w:val="center"/>
            </w:pPr>
            <w:r>
              <w:t xml:space="preserve">6,987</w:t>
            </w:r>
          </w:p>
        </w:tc>
        <w:tc>
          <w:tcPr>
            <w:tcW w:type="pct" w:w="12.5%"/>
            <w:vAlign w:val="center"/>
          </w:tcPr>
          <w:p>
            <w:pPr>
              <w:pStyle w:val="tableData"/>
              <w:keepNext w:val="false"/>
              <w:jc w:val="center"/>
            </w:pPr>
            <w:r>
              <w:t xml:space="preserve">1.2</w:t>
            </w:r>
          </w:p>
        </w:tc>
      </w:tr>
      <w:tr>
        <w:tc>
          <w:tcPr>
            <w:tcW w:type="pct" w:w="25%"/>
            <w:tcMar>
              <w:top w:type="dxa" w:w="0"/>
              <w:left w:type="dxa" w:w="100"/>
              <w:bottom w:type="dxa" w:w="0"/>
              <w:right w:type="dxa" w:w="0"/>
            </w:tcMar>
            <w:vAlign w:val="center"/>
          </w:tcPr>
          <w:p>
            <w:pPr>
              <w:pStyle w:val="tableData"/>
              <w:keepNext w:val="false"/>
              <w:jc w:val="left"/>
            </w:pPr>
            <w:r>
              <w:t xml:space="preserve">Theft From Person</w:t>
            </w:r>
          </w:p>
        </w:tc>
        <w:tc>
          <w:tcPr>
            <w:tcW w:type="pct" w:w="12.5%"/>
            <w:vAlign w:val="center"/>
          </w:tcPr>
          <w:p>
            <w:pPr>
              <w:pStyle w:val="tableData"/>
              <w:keepNext w:val="false"/>
              <w:jc w:val="center"/>
            </w:pPr>
            <w:r>
              <w:t xml:space="preserve">3</w:t>
            </w:r>
          </w:p>
        </w:tc>
        <w:tc>
          <w:tcPr>
            <w:tcW w:type="pct" w:w="12.5%"/>
            <w:vAlign w:val="center"/>
          </w:tcPr>
          <w:p>
            <w:pPr>
              <w:pStyle w:val="tableData"/>
              <w:keepNext w:val="false"/>
              <w:jc w:val="center"/>
            </w:pPr>
            <w:r>
              <w:t xml:space="preserve">0.3</w:t>
            </w:r>
          </w:p>
        </w:tc>
        <w:tc>
          <w:tcPr>
            <w:tcW w:type="pct" w:w="12.5%"/>
            <w:vAlign w:val="center"/>
          </w:tcPr>
          <w:p>
            <w:pPr>
              <w:pStyle w:val="tableData"/>
              <w:keepNext w:val="false"/>
              <w:jc w:val="center"/>
            </w:pPr>
            <w:r>
              <w:t xml:space="preserve">128</w:t>
            </w:r>
          </w:p>
        </w:tc>
        <w:tc>
          <w:tcPr>
            <w:tcW w:type="pct" w:w="12.5%"/>
            <w:vAlign w:val="center"/>
          </w:tcPr>
          <w:p>
            <w:pPr>
              <w:pStyle w:val="tableData"/>
              <w:keepNext w:val="false"/>
              <w:jc w:val="center"/>
            </w:pPr>
            <w:r>
              <w:t xml:space="preserve">0.6</w:t>
            </w:r>
          </w:p>
        </w:tc>
        <w:tc>
          <w:tcPr>
            <w:tcW w:type="pct" w:w="12.5%"/>
            <w:vAlign w:val="center"/>
          </w:tcPr>
          <w:p>
            <w:pPr>
              <w:pStyle w:val="tableData"/>
              <w:keepNext w:val="false"/>
              <w:jc w:val="center"/>
            </w:pPr>
            <w:r>
              <w:t xml:space="preserve">3,666</w:t>
            </w:r>
          </w:p>
        </w:tc>
        <w:tc>
          <w:tcPr>
            <w:tcW w:type="pct" w:w="12.5%"/>
            <w:vAlign w:val="center"/>
          </w:tcPr>
          <w:p>
            <w:pPr>
              <w:pStyle w:val="tableData"/>
              <w:keepNext w:val="false"/>
              <w:jc w:val="center"/>
            </w:pPr>
            <w:r>
              <w:t xml:space="preserve">0.6</w:t>
            </w:r>
          </w:p>
        </w:tc>
      </w:tr>
      <w:tr>
        <w:tc>
          <w:tcPr>
            <w:tcW w:type="pct" w:w="25%"/>
            <w:tcMar>
              <w:top w:type="dxa" w:w="0"/>
              <w:left w:type="dxa" w:w="100"/>
              <w:bottom w:type="dxa" w:w="0"/>
              <w:right w:type="dxa" w:w="0"/>
            </w:tcMar>
            <w:vAlign w:val="center"/>
          </w:tcPr>
          <w:p>
            <w:pPr>
              <w:pStyle w:val="tableData"/>
              <w:keepNext w:val="false"/>
              <w:jc w:val="left"/>
            </w:pPr>
            <w:r>
              <w:t xml:space="preserve">Vehicle Crime</w:t>
            </w:r>
          </w:p>
        </w:tc>
        <w:tc>
          <w:tcPr>
            <w:tcW w:type="pct" w:w="12.5%"/>
            <w:vAlign w:val="center"/>
          </w:tcPr>
          <w:p>
            <w:pPr>
              <w:pStyle w:val="tableData"/>
              <w:keepNext w:val="false"/>
              <w:jc w:val="center"/>
            </w:pPr>
            <w:r>
              <w:t xml:space="preserve">68</w:t>
            </w:r>
          </w:p>
        </w:tc>
        <w:tc>
          <w:tcPr>
            <w:tcW w:type="pct" w:w="12.5%"/>
            <w:vAlign w:val="center"/>
          </w:tcPr>
          <w:p>
            <w:pPr>
              <w:pStyle w:val="tableData"/>
              <w:keepNext w:val="false"/>
              <w:jc w:val="center"/>
            </w:pPr>
            <w:r>
              <w:t xml:space="preserve">5.8</w:t>
            </w:r>
          </w:p>
        </w:tc>
        <w:tc>
          <w:tcPr>
            <w:tcW w:type="pct" w:w="12.5%"/>
            <w:vAlign w:val="center"/>
          </w:tcPr>
          <w:p>
            <w:pPr>
              <w:pStyle w:val="tableData"/>
              <w:keepNext w:val="false"/>
              <w:jc w:val="center"/>
            </w:pPr>
            <w:r>
              <w:t xml:space="preserve">1,089</w:t>
            </w:r>
          </w:p>
        </w:tc>
        <w:tc>
          <w:tcPr>
            <w:tcW w:type="pct" w:w="12.5%"/>
            <w:vAlign w:val="center"/>
          </w:tcPr>
          <w:p>
            <w:pPr>
              <w:pStyle w:val="tableData"/>
              <w:keepNext w:val="false"/>
              <w:jc w:val="center"/>
            </w:pPr>
            <w:r>
              <w:t xml:space="preserve">5.2</w:t>
            </w:r>
          </w:p>
        </w:tc>
        <w:tc>
          <w:tcPr>
            <w:tcW w:type="pct" w:w="12.5%"/>
            <w:vAlign w:val="center"/>
          </w:tcPr>
          <w:p>
            <w:pPr>
              <w:pStyle w:val="tableData"/>
              <w:keepNext w:val="false"/>
              <w:jc w:val="center"/>
            </w:pPr>
            <w:r>
              <w:t xml:space="preserve">30,844</w:t>
            </w:r>
          </w:p>
        </w:tc>
        <w:tc>
          <w:tcPr>
            <w:tcW w:type="pct" w:w="12.5%"/>
            <w:vAlign w:val="center"/>
          </w:tcPr>
          <w:p>
            <w:pPr>
              <w:pStyle w:val="tableData"/>
              <w:keepNext w:val="false"/>
              <w:jc w:val="center"/>
            </w:pPr>
            <w:r>
              <w:t xml:space="preserve">5.4</w:t>
            </w:r>
          </w:p>
        </w:tc>
      </w:tr>
      <w:tr>
        <w:tc>
          <w:tcPr>
            <w:tcW w:type="pct" w:w="25%"/>
            <w:tcMar>
              <w:top w:type="dxa" w:w="0"/>
              <w:left w:type="dxa" w:w="100"/>
              <w:bottom w:type="dxa" w:w="0"/>
              <w:right w:type="dxa" w:w="0"/>
            </w:tcMar>
            <w:vAlign w:val="center"/>
          </w:tcPr>
          <w:p>
            <w:pPr>
              <w:pStyle w:val="tableData"/>
              <w:keepNext/>
              <w:jc w:val="left"/>
            </w:pPr>
            <w:r>
              <w:t xml:space="preserve">Violent Crime &amp; Sexual Offences</w:t>
            </w:r>
          </w:p>
        </w:tc>
        <w:tc>
          <w:tcPr>
            <w:tcW w:type="pct" w:w="12.5%"/>
            <w:vAlign w:val="center"/>
          </w:tcPr>
          <w:p>
            <w:pPr>
              <w:pStyle w:val="tableData"/>
              <w:keepNext/>
              <w:jc w:val="center"/>
            </w:pPr>
            <w:r>
              <w:t xml:space="preserve">283</w:t>
            </w:r>
          </w:p>
        </w:tc>
        <w:tc>
          <w:tcPr>
            <w:tcW w:type="pct" w:w="12.5%"/>
            <w:vAlign w:val="center"/>
          </w:tcPr>
          <w:p>
            <w:pPr>
              <w:pStyle w:val="tableData"/>
              <w:keepNext/>
              <w:jc w:val="center"/>
            </w:pPr>
            <w:r>
              <w:t xml:space="preserve">24.1</w:t>
            </w:r>
          </w:p>
        </w:tc>
        <w:tc>
          <w:tcPr>
            <w:tcW w:type="pct" w:w="12.5%"/>
            <w:vAlign w:val="center"/>
          </w:tcPr>
          <w:p>
            <w:pPr>
              <w:pStyle w:val="tableData"/>
              <w:keepNext/>
              <w:jc w:val="center"/>
            </w:pPr>
            <w:r>
              <w:t xml:space="preserve">10,773</w:t>
            </w:r>
          </w:p>
        </w:tc>
        <w:tc>
          <w:tcPr>
            <w:tcW w:type="pct" w:w="12.5%"/>
            <w:vAlign w:val="center"/>
          </w:tcPr>
          <w:p>
            <w:pPr>
              <w:pStyle w:val="tableData"/>
              <w:keepNext/>
              <w:jc w:val="center"/>
            </w:pPr>
            <w:r>
              <w:t xml:space="preserve">51.1</w:t>
            </w:r>
          </w:p>
        </w:tc>
        <w:tc>
          <w:tcPr>
            <w:tcW w:type="pct" w:w="12.5%"/>
            <w:vAlign w:val="center"/>
          </w:tcPr>
          <w:p>
            <w:pPr>
              <w:pStyle w:val="tableData"/>
              <w:keepNext/>
              <w:jc w:val="center"/>
            </w:pPr>
            <w:r>
              <w:t xml:space="preserve">242,236</w:t>
            </w:r>
          </w:p>
        </w:tc>
        <w:tc>
          <w:tcPr>
            <w:tcW w:type="pct" w:w="12.5%"/>
            <w:vAlign w:val="center"/>
          </w:tcPr>
          <w:p>
            <w:pPr>
              <w:pStyle w:val="tableData"/>
              <w:keepNext/>
              <w:jc w:val="center"/>
            </w:pPr>
            <w:r>
              <w:t xml:space="preserve">42.7</w:t>
            </w:r>
          </w:p>
        </w:tc>
      </w:tr>
      <w:tr>
        <w:trPr>
          <w:cantSplit/>
        </w:trPr>
        <w:tc>
          <w:tcPr>
            <w:gridSpan w:val="7"/>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Police UK</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Total Crime Rate</w:t>
      </w:r>
      <w:r>
        <w:t xml:space="preserve"/>
      </w:r>
      <w:hyperlink w:history="1" r:id="rIdbhwq98i6t9mej3oitsxlc">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line chart below shows a time series made up of 12-month totals of neighbourhood-level incidents of criminal offences. The figure is a rate per 1,000 residents. The first data point covers Sep-2018 to Aug-2019 and the final data point covers Mar-2025 to Feb-2026.</w:t>
      </w:r>
      <w:hyperlink w:history="1" r:id="rIdh2bqweqqeuuv_22sivvvb">
        <w:r>
          <w:rPr>
            <w:rStyle w:val="Hyperlink"/>
          </w:rPr>
          <w:t xml:space="preserve"/>
        </w:r>
      </w:hyperlink>
      <w:r>
        <w:t xml:space="preserve"/>
      </w:r>
    </w:p>
    <w:p>
      <w:pPr>
        <w:pStyle w:val="bodyText"/>
        <w:spacing w:before="200" w:after="200"/>
      </w:pPr>
      <w:r>
        <w:t xml:space="preserve">The overall crime rate in Hipperholme and Lightcliffe has decreased from 75.0 per 1,000 people between Sep-2018 to Aug-2019 to 67.4 per 1,000 people between Mar-2025 to Feb-2026.</w:t>
      </w:r>
      <w:hyperlink w:history="1" r:id="rIds5pzfqkqjzfnnny-qmd-q">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Total Crime Rate</w:t>
            </w:r>
          </w:p>
        </w:tc>
      </w:tr>
      <w:tr>
        <w:trPr>
          <w:tblHeader/>
        </w:trPr>
        <w:tc>
          <w:tcPr>
            <w:vAlign w:val="center"/>
          </w:tcPr>
          <w:p>
            <w:r>
              <w:drawing>
                <wp:inline distT="0" distB="0" distL="0" distR="0">
                  <wp:extent cx="9096375" cy="4381500"/>
                  <wp:effectExtent t="0" r="0" b="0" l="0"/>
                  <wp:docPr id="1" name="Chart for Total Crime Rate" descr="This chart shows Total Crime Rate. A textual description is provided elsewhere in this report." title="Chart Total Crime 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Police UK</w:t>
            </w:r>
          </w:p>
        </w:tc>
      </w:tr>
    </w:tbl>
    <w:p>
      <w:pPr>
        <w:spacing w:line="0.5" w:after="400"/>
      </w:pPr>
    </w:p>
    <w:p>
      <w:pPr>
        <w:sectPr>
          <w:footerReference w:type="default" r:id="rId12"/>
          <w:pgSz w:w="16838" w:h="11906" w:orient="landscape"/>
          <w:pgMar w:top="1270" w:right="1270" w:bottom="1270" w:left="1270" w:header="708" w:footer="708" w:gutter="0"/>
          <w:pgNumType/>
          <w:docGrid w:linePitch="360"/>
        </w:sectPr>
      </w:pPr>
    </w:p>
    <w:p>
      <w:pPr>
        <w:pStyle w:val="Heading1"/>
      </w:pPr>
      <w:bookmarkStart w:name="theme_section_4" w:id="1"/>
      <w:r>
        <w:t xml:space="preserve">Health</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Disability Benefits</w:t>
      </w:r>
      <w:r>
        <w:t xml:space="preserve"/>
      </w:r>
      <w:hyperlink w:history="1" r:id="rIdmtsjixbugnavz9csoadyf">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table below shows a series of indicators related to disability benefits providing the total numbers of claims and proportions within each area that are accessing the support systems available. It includes the following benefits;</w:t>
      </w:r>
      <w:hyperlink w:history="1" r:id="rIdqk8jzpuwwfvzgfkpp1e1u">
        <w:r>
          <w:rPr>
            <w:rStyle w:val="Hyperlink"/>
          </w:rPr>
          <w:t xml:space="preserve"/>
        </w:r>
      </w:hyperlink>
      <w:r>
        <w:t xml:space="preserve"/>
      </w:r>
    </w:p>
    <w:p>
      <w:pPr>
        <w:pStyle w:val="ListParagraph"/>
        <w:pStyle w:val="bodyText"/>
        <w:numPr>
          <w:ilvl w:val="0"/>
          <w:numId w:val="1"/>
        </w:numPr>
        <w:spacing w:before="200" w:after="200"/>
      </w:pPr>
      <w:r>
        <w:t xml:space="preserve">Personal Independence Payment (PIP) can help with extra living costs if you have both: a long-term physical or mental health condition or disability and difficulty doing certain everyday tasks or getting around because of your condition.</w:t>
      </w:r>
      <w:hyperlink w:history="1" r:id="rId_vkvxopbjb8yzhkpooj4s">
        <w:r>
          <w:rPr>
            <w:rStyle w:val="Hyperlink"/>
          </w:rPr>
          <w:t xml:space="preserve"/>
        </w:r>
      </w:hyperlink>
      <w:r>
        <w:t xml:space="preserve"/>
      </w:r>
    </w:p>
    <w:p>
      <w:pPr>
        <w:pStyle w:val="ListParagraph"/>
        <w:pStyle w:val="bodyText"/>
        <w:numPr>
          <w:ilvl w:val="0"/>
          <w:numId w:val="1"/>
        </w:numPr>
        <w:spacing w:before="200" w:after="200"/>
      </w:pPr>
      <w:r>
        <w:t xml:space="preserve">Disability Living Allowance (DLA) is payable to children and adults who become disabled before the age of 65. It is being replaced by other benefits (mainly PIP).</w:t>
      </w:r>
      <w:hyperlink w:history="1" r:id="rIdbuddw7bzvuxxs99hzaohc">
        <w:r>
          <w:rPr>
            <w:rStyle w:val="Hyperlink"/>
          </w:rPr>
          <w:t xml:space="preserve"/>
        </w:r>
      </w:hyperlink>
      <w:r>
        <w:t xml:space="preserve"/>
      </w:r>
    </w:p>
    <w:p>
      <w:pPr>
        <w:pStyle w:val="ListParagraph"/>
        <w:pStyle w:val="bodyText"/>
        <w:numPr>
          <w:ilvl w:val="0"/>
          <w:numId w:val="1"/>
        </w:numPr>
        <w:spacing w:before="200" w:after="200"/>
      </w:pPr>
      <w:r>
        <w:t xml:space="preserve">Attendance Allowance helps with extra costs if you are over 65 and have a disability severe enough that you need someone to help look after you.</w:t>
      </w:r>
      <w:hyperlink w:history="1" r:id="rIdsat89lq1wtvwahr2ppbzs">
        <w:r>
          <w:rPr>
            <w:rStyle w:val="Hyperlink"/>
          </w:rPr>
          <w:t xml:space="preserve"/>
        </w:r>
      </w:hyperlink>
      <w:r>
        <w:t xml:space="preserve"/>
      </w:r>
    </w:p>
    <w:p>
      <w:pPr>
        <w:pStyle w:val="ListParagraph"/>
        <w:pStyle w:val="bodyText"/>
        <w:numPr>
          <w:ilvl w:val="0"/>
          <w:numId w:val="1"/>
        </w:numPr>
        <w:spacing w:before="200" w:after="200"/>
      </w:pPr>
      <w:r>
        <w:t xml:space="preserve">Universal Credit (UC) disabled child entitlement is an increased award for the child element of UC where a child is entitled to a rate of DLA or PIP.</w:t>
      </w:r>
      <w:hyperlink w:history="1" r:id="rIdoykehcjcvnsbvgjrq2bdx">
        <w:r>
          <w:rPr>
            <w:rStyle w:val="Hyperlink"/>
          </w:rPr>
          <w:t xml:space="preserve"/>
        </w:r>
      </w:hyperlink>
      <w:r>
        <w:t xml:space="preserve"/>
      </w:r>
    </w:p>
    <w:p>
      <w:pPr>
        <w:pStyle w:val="ListParagraph"/>
        <w:pStyle w:val="bodyText"/>
        <w:numPr>
          <w:ilvl w:val="0"/>
          <w:numId w:val="1"/>
        </w:numPr>
        <w:spacing w:before="200" w:after="200"/>
      </w:pPr>
      <w:r>
        <w:t xml:space="preserve">Universal Credit (UC) limited capability to work entitlement is for when a household member has limited capacity to work due to poor mental or physical health conditions.</w:t>
      </w:r>
      <w:hyperlink w:history="1" r:id="rIdkrve302i7d1z_345nm3s5">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8.31% of the working-age population in Hipperholme and Lightcliffe are receiving Personal Independence Payments (PIP). This is lower than the proportion in Calderdale (12.04%) and lower than the proportion in Yorkshire and The Humber (11.6%).</w:t>
      </w:r>
      <w:hyperlink w:history="1" r:id="rIdesew_1-akjxfp4ufrjzdx">
        <w:r>
          <w:rPr>
            <w:rStyle w:val="Hyperlink"/>
          </w:rPr>
          <w:t xml:space="preserve"/>
        </w:r>
      </w:hyperlink>
      <w:r>
        <w:t xml:space="preserve"/>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1790"/>
        <w:gridCol w:w="1790"/>
        <w:gridCol w:w="1790"/>
        <w:gridCol w:w="1790"/>
        <w:gridCol w:w="1790"/>
        <w:gridCol w:w="1790"/>
      </w:tblGrid>
      <w:tr>
        <w:trPr>
          <w:tblHeader/>
          <w:trHeight w:val="600" w:hRule="atLeast"/>
        </w:trPr>
        <w:tc>
          <w:tcPr>
            <w:tcW w:type="pct" w:w="100%"/>
            <w:gridSpan w:val="7"/>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Disability Benefits</w:t>
            </w:r>
          </w:p>
        </w:tc>
      </w:tr>
      <w:tr>
        <w:trPr>
          <w:tblHeader/>
        </w:trPr>
        <w:tc>
          <w:tcPr>
            <w:tcW w:type="pct" w:w="25%"/>
            <w:gridSpan w:val="1"/>
            <w:shd w:fill="3edbcf" w:color="3edbcf" w:val="solid"/>
            <w:vAlign w:val="center"/>
          </w:tcPr>
          <w:p>
            <w:pPr>
              <w:pStyle w:val="tableHeader"/>
              <w:jc w:val="center"/>
            </w:pPr>
            <w:r>
              <w:t xml:space="preserve">Indicator</w:t>
            </w:r>
          </w:p>
        </w:tc>
        <w:tc>
          <w:tcPr>
            <w:tcW w:type="pct" w:w="25%"/>
            <w:gridSpan w:val="2"/>
            <w:shd w:fill="3edbcf" w:color="3edbcf" w:val="solid"/>
            <w:vAlign w:val="center"/>
          </w:tcPr>
          <w:p>
            <w:pPr>
              <w:pStyle w:val="tableHeader"/>
              <w:jc w:val="center"/>
            </w:pPr>
            <w:r>
              <w:t xml:space="preserve">Hipperholme and Lightcliffe</w:t>
            </w:r>
          </w:p>
        </w:tc>
        <w:tc>
          <w:tcPr>
            <w:tcW w:type="pct" w:w="25%"/>
            <w:gridSpan w:val="2"/>
            <w:shd w:fill="3edbcf" w:color="3edbcf" w:val="solid"/>
            <w:vAlign w:val="center"/>
          </w:tcPr>
          <w:p>
            <w:pPr>
              <w:pStyle w:val="tableHeader"/>
              <w:jc w:val="center"/>
            </w:pPr>
            <w:r>
              <w:t xml:space="preserve">Calderdale</w:t>
            </w:r>
          </w:p>
        </w:tc>
        <w:tc>
          <w:tcPr>
            <w:tcW w:type="pct" w:w="25%"/>
            <w:gridSpan w:val="2"/>
            <w:shd w:fill="3edbcf" w:color="3edbcf" w:val="solid"/>
            <w:vAlign w:val="center"/>
          </w:tcPr>
          <w:p>
            <w:pPr>
              <w:pStyle w:val="tableHeader"/>
              <w:jc w:val="center"/>
            </w:pPr>
            <w:r>
              <w:t xml:space="preserve">Yorkshire and The Humber</w:t>
            </w:r>
          </w:p>
        </w:tc>
      </w:tr>
      <w:tr>
        <w:trPr>
          <w:tblHeader/>
        </w:trPr>
        <w:tc>
          <w:tcPr>
            <w:tcW w:type="pct" w:w="25%"/>
            <w:vAlign w:val="center"/>
          </w:tcPr>
          <w:p>
            <w:pPr>
              <w:pStyle w:val="tableHeader"/>
              <w:jc w:val="center"/>
            </w:pP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r>
      <w:tr>
        <w:tc>
          <w:tcPr>
            <w:tcW w:type="pct" w:w="25%"/>
            <w:tcMar>
              <w:top w:type="dxa" w:w="0"/>
              <w:left w:type="dxa" w:w="100"/>
              <w:bottom w:type="dxa" w:w="0"/>
              <w:right w:type="dxa" w:w="0"/>
            </w:tcMar>
            <w:vAlign w:val="center"/>
          </w:tcPr>
          <w:p>
            <w:pPr>
              <w:pStyle w:val="tableData"/>
              <w:keepNext w:val="false"/>
              <w:jc w:val="left"/>
            </w:pPr>
            <w:r>
              <w:t xml:space="preserve">Personal Independence Payment (PIP)</w:t>
            </w:r>
          </w:p>
        </w:tc>
        <w:tc>
          <w:tcPr>
            <w:tcW w:type="pct" w:w="12.5%"/>
            <w:vAlign w:val="center"/>
          </w:tcPr>
          <w:p>
            <w:pPr>
              <w:pStyle w:val="tableData"/>
              <w:keepNext w:val="false"/>
              <w:jc w:val="center"/>
            </w:pPr>
            <w:r>
              <w:t xml:space="preserve">588</w:t>
            </w:r>
          </w:p>
        </w:tc>
        <w:tc>
          <w:tcPr>
            <w:tcW w:type="pct" w:w="12.5%"/>
            <w:vAlign w:val="center"/>
          </w:tcPr>
          <w:p>
            <w:pPr>
              <w:pStyle w:val="tableData"/>
              <w:keepNext w:val="false"/>
              <w:jc w:val="center"/>
            </w:pPr>
            <w:r>
              <w:t xml:space="preserve">8.31%</w:t>
            </w:r>
          </w:p>
        </w:tc>
        <w:tc>
          <w:tcPr>
            <w:tcW w:type="pct" w:w="12.5%"/>
            <w:vAlign w:val="center"/>
          </w:tcPr>
          <w:p>
            <w:pPr>
              <w:pStyle w:val="tableData"/>
              <w:keepNext w:val="false"/>
              <w:jc w:val="center"/>
            </w:pPr>
            <w:r>
              <w:t xml:space="preserve">15,644</w:t>
            </w:r>
          </w:p>
        </w:tc>
        <w:tc>
          <w:tcPr>
            <w:tcW w:type="pct" w:w="12.5%"/>
            <w:vAlign w:val="center"/>
          </w:tcPr>
          <w:p>
            <w:pPr>
              <w:pStyle w:val="tableData"/>
              <w:keepNext w:val="false"/>
              <w:jc w:val="center"/>
            </w:pPr>
            <w:r>
              <w:t xml:space="preserve">12.04%</w:t>
            </w:r>
          </w:p>
        </w:tc>
        <w:tc>
          <w:tcPr>
            <w:tcW w:type="pct" w:w="12.5%"/>
            <w:vAlign w:val="center"/>
          </w:tcPr>
          <w:p>
            <w:pPr>
              <w:pStyle w:val="tableData"/>
              <w:keepNext w:val="false"/>
              <w:jc w:val="center"/>
            </w:pPr>
            <w:r>
              <w:t xml:space="preserve">409,749</w:t>
            </w:r>
          </w:p>
        </w:tc>
        <w:tc>
          <w:tcPr>
            <w:tcW w:type="pct" w:w="12.5%"/>
            <w:vAlign w:val="center"/>
          </w:tcPr>
          <w:p>
            <w:pPr>
              <w:pStyle w:val="tableData"/>
              <w:keepNext w:val="false"/>
              <w:jc w:val="center"/>
            </w:pPr>
            <w:r>
              <w:t xml:space="preserve">11.60%</w:t>
            </w:r>
          </w:p>
        </w:tc>
      </w:tr>
      <w:tr>
        <w:tc>
          <w:tcPr>
            <w:tcW w:type="pct" w:w="25%"/>
            <w:tcMar>
              <w:top w:type="dxa" w:w="0"/>
              <w:left w:type="dxa" w:w="100"/>
              <w:bottom w:type="dxa" w:w="0"/>
              <w:right w:type="dxa" w:w="0"/>
            </w:tcMar>
            <w:vAlign w:val="center"/>
          </w:tcPr>
          <w:p>
            <w:pPr>
              <w:pStyle w:val="tableData"/>
              <w:keepNext w:val="false"/>
              <w:jc w:val="left"/>
            </w:pPr>
            <w:r>
              <w:t xml:space="preserve">Disability benefit (DLA)</w:t>
            </w:r>
          </w:p>
        </w:tc>
        <w:tc>
          <w:tcPr>
            <w:tcW w:type="pct" w:w="12.5%"/>
            <w:vAlign w:val="center"/>
          </w:tcPr>
          <w:p>
            <w:pPr>
              <w:pStyle w:val="tableData"/>
              <w:keepNext w:val="false"/>
              <w:jc w:val="center"/>
            </w:pPr>
            <w:r>
              <w:t xml:space="preserve">208</w:t>
            </w:r>
          </w:p>
        </w:tc>
        <w:tc>
          <w:tcPr>
            <w:tcW w:type="pct" w:w="12.5%"/>
            <w:vAlign w:val="center"/>
          </w:tcPr>
          <w:p>
            <w:pPr>
              <w:pStyle w:val="tableData"/>
              <w:keepNext w:val="false"/>
              <w:jc w:val="center"/>
            </w:pPr>
            <w:r>
              <w:t xml:space="preserve">1.77%</w:t>
            </w:r>
          </w:p>
        </w:tc>
        <w:tc>
          <w:tcPr>
            <w:tcW w:type="pct" w:w="12.5%"/>
            <w:vAlign w:val="center"/>
          </w:tcPr>
          <w:p>
            <w:pPr>
              <w:pStyle w:val="tableData"/>
              <w:keepNext w:val="false"/>
              <w:jc w:val="center"/>
            </w:pPr>
            <w:r>
              <w:t xml:space="preserve">5,335</w:t>
            </w:r>
          </w:p>
        </w:tc>
        <w:tc>
          <w:tcPr>
            <w:tcW w:type="pct" w:w="12.5%"/>
            <w:vAlign w:val="center"/>
          </w:tcPr>
          <w:p>
            <w:pPr>
              <w:pStyle w:val="tableData"/>
              <w:keepNext w:val="false"/>
              <w:jc w:val="center"/>
            </w:pPr>
            <w:r>
              <w:t xml:space="preserve">2.53%</w:t>
            </w:r>
          </w:p>
        </w:tc>
        <w:tc>
          <w:tcPr>
            <w:tcW w:type="pct" w:w="12.5%"/>
            <w:vAlign w:val="center"/>
          </w:tcPr>
          <w:p>
            <w:pPr>
              <w:pStyle w:val="tableData"/>
              <w:keepNext w:val="false"/>
              <w:jc w:val="center"/>
            </w:pPr>
            <w:r>
              <w:t xml:space="preserve">134,644</w:t>
            </w:r>
          </w:p>
        </w:tc>
        <w:tc>
          <w:tcPr>
            <w:tcW w:type="pct" w:w="12.5%"/>
            <w:vAlign w:val="center"/>
          </w:tcPr>
          <w:p>
            <w:pPr>
              <w:pStyle w:val="tableData"/>
              <w:keepNext w:val="false"/>
              <w:jc w:val="center"/>
            </w:pPr>
            <w:r>
              <w:t xml:space="preserve">2.37%</w:t>
            </w:r>
          </w:p>
        </w:tc>
      </w:tr>
      <w:tr>
        <w:tc>
          <w:tcPr>
            <w:tcW w:type="pct" w:w="25%"/>
            <w:tcMar>
              <w:top w:type="dxa" w:w="0"/>
              <w:left w:type="dxa" w:w="100"/>
              <w:bottom w:type="dxa" w:w="0"/>
              <w:right w:type="dxa" w:w="0"/>
            </w:tcMar>
            <w:vAlign w:val="center"/>
          </w:tcPr>
          <w:p>
            <w:pPr>
              <w:pStyle w:val="tableData"/>
              <w:keepNext w:val="false"/>
              <w:jc w:val="left"/>
            </w:pPr>
            <w:r>
              <w:t xml:space="preserve">Older people social care benefit (Attendance Allowance)</w:t>
            </w:r>
          </w:p>
        </w:tc>
        <w:tc>
          <w:tcPr>
            <w:tcW w:type="pct" w:w="12.5%"/>
            <w:vAlign w:val="center"/>
          </w:tcPr>
          <w:p>
            <w:pPr>
              <w:pStyle w:val="tableData"/>
              <w:keepNext w:val="false"/>
              <w:jc w:val="center"/>
            </w:pPr>
            <w:r>
              <w:t xml:space="preserve">315</w:t>
            </w:r>
          </w:p>
        </w:tc>
        <w:tc>
          <w:tcPr>
            <w:tcW w:type="pct" w:w="12.5%"/>
            <w:vAlign w:val="center"/>
          </w:tcPr>
          <w:p>
            <w:pPr>
              <w:pStyle w:val="tableData"/>
              <w:keepNext w:val="false"/>
              <w:jc w:val="center"/>
            </w:pPr>
            <w:r>
              <w:t xml:space="preserve">11.86%</w:t>
            </w:r>
          </w:p>
        </w:tc>
        <w:tc>
          <w:tcPr>
            <w:tcW w:type="pct" w:w="12.5%"/>
            <w:vAlign w:val="center"/>
          </w:tcPr>
          <w:p>
            <w:pPr>
              <w:pStyle w:val="tableData"/>
              <w:keepNext w:val="false"/>
              <w:jc w:val="center"/>
            </w:pPr>
            <w:r>
              <w:t xml:space="preserve">5,624</w:t>
            </w:r>
          </w:p>
        </w:tc>
        <w:tc>
          <w:tcPr>
            <w:tcW w:type="pct" w:w="12.5%"/>
            <w:vAlign w:val="center"/>
          </w:tcPr>
          <w:p>
            <w:pPr>
              <w:pStyle w:val="tableData"/>
              <w:keepNext w:val="false"/>
              <w:jc w:val="center"/>
            </w:pPr>
            <w:r>
              <w:t xml:space="preserve">13.62%</w:t>
            </w:r>
          </w:p>
        </w:tc>
        <w:tc>
          <w:tcPr>
            <w:tcW w:type="pct" w:w="12.5%"/>
            <w:vAlign w:val="center"/>
          </w:tcPr>
          <w:p>
            <w:pPr>
              <w:pStyle w:val="tableData"/>
              <w:keepNext w:val="false"/>
              <w:jc w:val="center"/>
            </w:pPr>
            <w:r>
              <w:t xml:space="preserve">159,850</w:t>
            </w:r>
          </w:p>
        </w:tc>
        <w:tc>
          <w:tcPr>
            <w:tcW w:type="pct" w:w="12.5%"/>
            <w:vAlign w:val="center"/>
          </w:tcPr>
          <w:p>
            <w:pPr>
              <w:pStyle w:val="tableData"/>
              <w:keepNext w:val="false"/>
              <w:jc w:val="center"/>
            </w:pPr>
            <w:r>
              <w:t xml:space="preserve">14.59%</w:t>
            </w:r>
          </w:p>
        </w:tc>
      </w:tr>
      <w:tr>
        <w:tc>
          <w:tcPr>
            <w:tcW w:type="pct" w:w="25%"/>
            <w:tcMar>
              <w:top w:type="dxa" w:w="0"/>
              <w:left w:type="dxa" w:w="100"/>
              <w:bottom w:type="dxa" w:w="0"/>
              <w:right w:type="dxa" w:w="0"/>
            </w:tcMar>
            <w:vAlign w:val="center"/>
          </w:tcPr>
          <w:p>
            <w:pPr>
              <w:pStyle w:val="tableData"/>
              <w:keepNext w:val="false"/>
              <w:jc w:val="left"/>
            </w:pPr>
            <w:r>
              <w:t xml:space="preserve">Households on Universal Credit, Disabled Child Entitlement</w:t>
            </w:r>
          </w:p>
        </w:tc>
        <w:tc>
          <w:tcPr>
            <w:tcW w:type="pct" w:w="12.5%"/>
            <w:vAlign w:val="center"/>
          </w:tcPr>
          <w:p>
            <w:pPr>
              <w:pStyle w:val="tableData"/>
              <w:keepNext w:val="false"/>
              <w:jc w:val="center"/>
            </w:pPr>
            <w:r>
              <w:t xml:space="preserve">79</w:t>
            </w:r>
          </w:p>
        </w:tc>
        <w:tc>
          <w:tcPr>
            <w:tcW w:type="pct" w:w="12.5%"/>
            <w:vAlign w:val="center"/>
          </w:tcPr>
          <w:p>
            <w:pPr>
              <w:pStyle w:val="tableData"/>
              <w:keepNext w:val="false"/>
              <w:jc w:val="center"/>
            </w:pPr>
            <w:r>
              <w:t xml:space="preserve">1.55%</w:t>
            </w:r>
          </w:p>
        </w:tc>
        <w:tc>
          <w:tcPr>
            <w:tcW w:type="pct" w:w="12.5%"/>
            <w:vAlign w:val="center"/>
          </w:tcPr>
          <w:p>
            <w:pPr>
              <w:pStyle w:val="tableData"/>
              <w:keepNext w:val="false"/>
              <w:jc w:val="center"/>
            </w:pPr>
            <w:r>
              <w:t xml:space="preserve">2,364</w:t>
            </w:r>
          </w:p>
        </w:tc>
        <w:tc>
          <w:tcPr>
            <w:tcW w:type="pct" w:w="12.5%"/>
            <w:vAlign w:val="center"/>
          </w:tcPr>
          <w:p>
            <w:pPr>
              <w:pStyle w:val="tableData"/>
              <w:keepNext w:val="false"/>
              <w:jc w:val="center"/>
            </w:pPr>
            <w:r>
              <w:t xml:space="preserve">2.61%</w:t>
            </w:r>
          </w:p>
        </w:tc>
        <w:tc>
          <w:tcPr>
            <w:tcW w:type="pct" w:w="12.5%"/>
            <w:vAlign w:val="center"/>
          </w:tcPr>
          <w:p>
            <w:pPr>
              <w:pStyle w:val="tableData"/>
              <w:keepNext w:val="false"/>
              <w:jc w:val="center"/>
            </w:pPr>
            <w:r>
              <w:t xml:space="preserve">55,606</w:t>
            </w:r>
          </w:p>
        </w:tc>
        <w:tc>
          <w:tcPr>
            <w:tcW w:type="pct" w:w="12.5%"/>
            <w:vAlign w:val="center"/>
          </w:tcPr>
          <w:p>
            <w:pPr>
              <w:pStyle w:val="tableData"/>
              <w:keepNext w:val="false"/>
              <w:jc w:val="center"/>
            </w:pPr>
            <w:r>
              <w:t xml:space="preserve">2.39%</w:t>
            </w:r>
          </w:p>
        </w:tc>
      </w:tr>
      <w:tr>
        <w:tc>
          <w:tcPr>
            <w:tcW w:type="pct" w:w="25%"/>
            <w:tcMar>
              <w:top w:type="dxa" w:w="0"/>
              <w:left w:type="dxa" w:w="100"/>
              <w:bottom w:type="dxa" w:w="0"/>
              <w:right w:type="dxa" w:w="0"/>
            </w:tcMar>
            <w:vAlign w:val="center"/>
          </w:tcPr>
          <w:p>
            <w:pPr>
              <w:pStyle w:val="tableData"/>
              <w:keepNext/>
              <w:jc w:val="left"/>
            </w:pPr>
            <w:r>
              <w:t xml:space="preserve">Households on Universal Credit - Limited Capability for Work Entitlement</w:t>
            </w:r>
          </w:p>
        </w:tc>
        <w:tc>
          <w:tcPr>
            <w:tcW w:type="pct" w:w="12.5%"/>
            <w:vAlign w:val="center"/>
          </w:tcPr>
          <w:p>
            <w:pPr>
              <w:pStyle w:val="tableData"/>
              <w:keepNext/>
              <w:jc w:val="center"/>
            </w:pPr>
            <w:r>
              <w:t xml:space="preserve">306</w:t>
            </w:r>
          </w:p>
        </w:tc>
        <w:tc>
          <w:tcPr>
            <w:tcW w:type="pct" w:w="12.5%"/>
            <w:vAlign w:val="center"/>
          </w:tcPr>
          <w:p>
            <w:pPr>
              <w:pStyle w:val="tableData"/>
              <w:keepNext/>
              <w:jc w:val="center"/>
            </w:pPr>
            <w:r>
              <w:t xml:space="preserve">6.02%</w:t>
            </w:r>
          </w:p>
        </w:tc>
        <w:tc>
          <w:tcPr>
            <w:tcW w:type="pct" w:w="12.5%"/>
            <w:vAlign w:val="center"/>
          </w:tcPr>
          <w:p>
            <w:pPr>
              <w:pStyle w:val="tableData"/>
              <w:keepNext/>
              <w:jc w:val="center"/>
            </w:pPr>
            <w:r>
              <w:t xml:space="preserve">10,963</w:t>
            </w:r>
          </w:p>
        </w:tc>
        <w:tc>
          <w:tcPr>
            <w:tcW w:type="pct" w:w="12.5%"/>
            <w:vAlign w:val="center"/>
          </w:tcPr>
          <w:p>
            <w:pPr>
              <w:pStyle w:val="tableData"/>
              <w:keepNext/>
              <w:jc w:val="center"/>
            </w:pPr>
            <w:r>
              <w:t xml:space="preserve">12.12%</w:t>
            </w:r>
          </w:p>
        </w:tc>
        <w:tc>
          <w:tcPr>
            <w:tcW w:type="pct" w:w="12.5%"/>
            <w:vAlign w:val="center"/>
          </w:tcPr>
          <w:p>
            <w:pPr>
              <w:pStyle w:val="tableData"/>
              <w:keepNext/>
              <w:jc w:val="center"/>
            </w:pPr>
            <w:r>
              <w:t xml:space="preserve">267,888</w:t>
            </w:r>
          </w:p>
        </w:tc>
        <w:tc>
          <w:tcPr>
            <w:tcW w:type="pct" w:w="12.5%"/>
            <w:vAlign w:val="center"/>
          </w:tcPr>
          <w:p>
            <w:pPr>
              <w:pStyle w:val="tableData"/>
              <w:keepNext/>
              <w:jc w:val="center"/>
            </w:pPr>
            <w:r>
              <w:t xml:space="preserve">11.49%</w:t>
            </w:r>
          </w:p>
        </w:tc>
      </w:tr>
      <w:tr>
        <w:trPr>
          <w:cantSplit/>
        </w:trPr>
        <w:tc>
          <w:tcPr>
            <w:gridSpan w:val="7"/>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Department for Work and Pensions (DWP)</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Long-Term Physical/Mental Health Conditions</w:t>
      </w:r>
      <w:r>
        <w:t xml:space="preserve"/>
      </w:r>
      <w:hyperlink w:history="1" r:id="rIdsmbp8namxvqpdnj4lhpae">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boxes below show the number and proportion of people disabled under the Equality Act with different limitations on day-to-day activity and also for those who have a long term physical or mental health condition but are not limited day to day.</w:t>
      </w:r>
      <w:hyperlink w:history="1" r:id="rIduxgvtcmege5sf_qtp2rri">
        <w:r>
          <w:rPr>
            <w:rStyle w:val="Hyperlink"/>
          </w:rPr>
          <w:t xml:space="preserve"/>
        </w:r>
      </w:hyperlink>
      <w:r>
        <w:t xml:space="preserve"/>
      </w:r>
    </w:p>
    <w:p>
      <w:pPr>
        <w:pStyle w:val="bodyText"/>
        <w:spacing w:before="200" w:after="200"/>
      </w:pPr>
      <w:r>
        <w:t xml:space="preserve">Figures are taken from responses to the 2021 Census and are based on a self assessment of whether or not a person has a limiting long-term illness, health problem or disability which limits their daily activities or the work they can do, including problems that are due to old age.</w:t>
      </w:r>
      <w:hyperlink w:history="1" r:id="rIdzz13bzhopa8e9rkojb2z1">
        <w:r>
          <w:rPr>
            <w:rStyle w:val="Hyperlink"/>
          </w:rPr>
          <w:t xml:space="preserve"/>
        </w:r>
      </w:hyperlink>
      <w:r>
        <w:t xml:space="preserve"/>
      </w:r>
    </w:p>
    <w:p>
      <w:pPr>
        <w:pStyle w:val="bodyText"/>
        <w:spacing w:before="200" w:after="200"/>
      </w:pPr>
      <w:r>
        <w:t xml:space="preserve">In Hipperholme and Lightcliffe, the proportion of people disabled under the Equality Act with their day-to-day activities limited a lot is 6.11%. This is lower than the proportion in Calderdale (7.95%) and lower than the proportion in Yorkshire and The Humber (8.1%).</w:t>
      </w:r>
      <w:hyperlink w:history="1" r:id="rId_pxpj38vr0zgpzom_2omc">
        <w:r>
          <w:rPr>
            <w:rStyle w:val="Hyperlink"/>
          </w:rPr>
          <w:t xml:space="preserve"/>
        </w:r>
      </w:hyperlink>
      <w:r>
        <w:t xml:space="preserve"/>
      </w:r>
    </w:p>
    <w:p>
      <w:pPr>
        <w:spacing w:line="0.5" w:after="4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4773"/>
        <w:gridCol w:w="4773"/>
        <w:gridCol w:w="4773"/>
      </w:tblGrid>
      <w:tr>
        <w:trPr>
          <w:cantSplit/>
        </w:trPr>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4773"/>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4773"/>
                  <w:gridSpan w:val="3"/>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Day-to-Day Activities Limited a Lot</w:t>
                  </w:r>
                </w:p>
              </w:tc>
            </w:tr>
            <w:tr>
              <w:trPr>
                <w:cantSplit/>
                <w:trHeight w:val="790" w:hRule="atLeast"/>
              </w:trPr>
              <w:tc>
                <w:tcPr>
                  <w:tcW w:type="dxa" w:w="4773"/>
                  <w:gridSpan w:val="3"/>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712</w:t>
                  </w:r>
                </w:p>
              </w:tc>
            </w:tr>
            <w:tr>
              <w:trPr>
                <w:cantSplit/>
                <w:trHeight w:val="870" w:hRule="atLeast"/>
              </w:trPr>
              <w:tc>
                <w:tcPr>
                  <w:tcW w:type="dxa" w:w="4773"/>
                  <w:gridSpan w:val="3"/>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6.11% (Calderdale = 7.95%, Yorkshire and The Humber = 8.1%)</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4773"/>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4773"/>
                  <w:gridSpan w:val="3"/>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Day-to-Day Activities Limited a Little</w:t>
                  </w:r>
                </w:p>
              </w:tc>
            </w:tr>
            <w:tr>
              <w:trPr>
                <w:cantSplit/>
                <w:trHeight w:val="790" w:hRule="atLeast"/>
              </w:trPr>
              <w:tc>
                <w:tcPr>
                  <w:tcW w:type="dxa" w:w="4773"/>
                  <w:gridSpan w:val="3"/>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1,106</w:t>
                  </w:r>
                </w:p>
              </w:tc>
            </w:tr>
            <w:tr>
              <w:trPr>
                <w:cantSplit/>
                <w:trHeight w:val="870" w:hRule="atLeast"/>
              </w:trPr>
              <w:tc>
                <w:tcPr>
                  <w:tcW w:type="dxa" w:w="4773"/>
                  <w:gridSpan w:val="3"/>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9.49% (Calderdale = 10.38%, Yorkshire and The Humber = 10.53%)</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4773"/>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4773"/>
                  <w:gridSpan w:val="3"/>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Physical or Mental Health Condition but Day-to-Day Activities Are Not Limited</w:t>
                  </w:r>
                </w:p>
              </w:tc>
            </w:tr>
            <w:tr>
              <w:trPr>
                <w:cantSplit/>
                <w:trHeight w:val="790" w:hRule="atLeast"/>
              </w:trPr>
              <w:tc>
                <w:tcPr>
                  <w:tcW w:type="dxa" w:w="4773"/>
                  <w:gridSpan w:val="3"/>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938</w:t>
                  </w:r>
                </w:p>
              </w:tc>
            </w:tr>
            <w:tr>
              <w:trPr>
                <w:cantSplit/>
                <w:trHeight w:val="870" w:hRule="atLeast"/>
              </w:trPr>
              <w:tc>
                <w:tcPr>
                  <w:tcW w:type="dxa" w:w="4773"/>
                  <w:gridSpan w:val="3"/>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8.05% (Calderdale = 7.22%, Yorkshire and The Humber = 6.92%)</w:t>
                  </w:r>
                </w:p>
              </w:tc>
            </w:tr>
          </w:tbl>
          <w:p/>
        </w:tc>
      </w:tr>
      <w:tr>
        <w:trPr>
          <w:cantSplit/>
        </w:trPr>
        <w:tc>
          <w:tcPr>
            <w:gridSpan w:val="3"/>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Census 2021</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Self-Reported General Health</w:t>
      </w:r>
      <w:r>
        <w:t xml:space="preserve"/>
      </w:r>
      <w:hyperlink w:history="1" r:id="rIdscmc26wsijf7wk_4p9ysr">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chart below shows data from Census 2021 on the proportion of residents within each response category from a self-assessment of general health.</w:t>
      </w:r>
      <w:hyperlink w:history="1" r:id="rIdgt9cmzmdnncdkeqwuquuw">
        <w:r>
          <w:rPr>
            <w:rStyle w:val="Hyperlink"/>
          </w:rPr>
          <w:t xml:space="preserve"/>
        </w:r>
      </w:hyperlink>
      <w:r>
        <w:t xml:space="preserve"/>
      </w:r>
    </w:p>
    <w:p>
      <w:pPr>
        <w:pStyle w:val="bodyText"/>
        <w:spacing w:before="200" w:after="200"/>
      </w:pPr>
      <w:r>
        <w:t xml:space="preserve">0.95% of people in Hipperholme and Lightcliffe have very bad health. This is lower than the proportion in Calderdale (1.3%) and lower than the proportion in Yorkshire and The Humber (1.32%).</w:t>
      </w:r>
      <w:hyperlink w:history="1" r:id="rIdg-8h9fzuokxpwm-kuq52k">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Self-Reported General Health</w:t>
            </w:r>
          </w:p>
        </w:tc>
      </w:tr>
      <w:tr>
        <w:trPr>
          <w:tblHeader/>
        </w:trPr>
        <w:tc>
          <w:tcPr>
            <w:vAlign w:val="center"/>
          </w:tcPr>
          <w:p>
            <w:r>
              <w:drawing>
                <wp:inline distT="0" distB="0" distL="0" distR="0">
                  <wp:extent cx="9096375" cy="4381500"/>
                  <wp:effectExtent t="0" r="0" b="0" l="0"/>
                  <wp:docPr id="1" name="Chart for Self-Reported General Health" descr="This chart shows Self-Reported General Health. A textual description is provided elsewhere in this report." title="Chart Self-Reported General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Census 2021</w:t>
            </w:r>
          </w:p>
        </w:tc>
      </w:tr>
    </w:tbl>
    <w:p>
      <w:pPr>
        <w:spacing w:line="0.5" w:after="400"/>
      </w:pPr>
    </w:p>
    <w:p>
      <w:pPr>
        <w:sectPr>
          <w:footerReference w:type="default" r:id="rId13"/>
          <w:pgSz w:w="16838" w:h="11906" w:orient="landscape"/>
          <w:pgMar w:top="1270" w:right="1270" w:bottom="1270" w:left="1270" w:header="708" w:footer="708" w:gutter="0"/>
          <w:pgNumType/>
          <w:docGrid w:linePitch="360"/>
        </w:sectPr>
      </w:pPr>
    </w:p>
    <w:p>
      <w:pPr>
        <w:pStyle w:val="Heading1"/>
      </w:pPr>
      <w:bookmarkStart w:name="theme_section_5" w:id="1"/>
      <w:r>
        <w:t xml:space="preserve">Education</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Level of Qualification</w:t>
      </w:r>
      <w:r>
        <w:t xml:space="preserve"/>
      </w:r>
      <w:hyperlink w:history="1" r:id="rId-zizvlkb_iceeihmxh3px">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visualisations below shows the composition of people aged 16+ by level of qualification. Data is taken from the 2021 Census.</w:t>
      </w:r>
      <w:hyperlink w:history="1" r:id="rIdtz4g3vn6wgytvfdzrdvkb">
        <w:r>
          <w:rPr>
            <w:rStyle w:val="Hyperlink"/>
          </w:rPr>
          <w:t xml:space="preserve"/>
        </w:r>
      </w:hyperlink>
      <w:r>
        <w:t xml:space="preserve"/>
      </w:r>
    </w:p>
    <w:p>
      <w:pPr>
        <w:pStyle w:val="bodyText"/>
        <w:spacing w:before="200" w:after="200"/>
      </w:pPr>
      <w:r>
        <w:t xml:space="preserve">There are 564 people in Hipperholme and Lightcliffe with an apprenticeship as their highest qualification, 5.93% of all people aged over 16. This is similar to the average for Calderdale (6.32%) and similar to the average for Yorkshire and The Humber (6.14%).</w:t>
      </w:r>
      <w:hyperlink w:history="1" r:id="rId03mn0f78hrgs9gngnnq5h">
        <w:r>
          <w:rPr>
            <w:rStyle w:val="Hyperlink"/>
          </w:rPr>
          <w:t xml:space="preserve"/>
        </w:r>
      </w:hyperlink>
      <w:r>
        <w:t xml:space="preserve"/>
      </w:r>
    </w:p>
    <w:p>
      <w:pPr>
        <w:pStyle w:val="bodyText"/>
        <w:spacing w:before="200" w:after="200"/>
      </w:pPr>
      <w:r>
        <w:t xml:space="preserve"> </w:t>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1790"/>
        <w:gridCol w:w="1790"/>
        <w:gridCol w:w="1790"/>
        <w:gridCol w:w="1790"/>
        <w:gridCol w:w="1790"/>
        <w:gridCol w:w="1790"/>
      </w:tblGrid>
      <w:tr>
        <w:trPr>
          <w:tblHeader/>
          <w:trHeight w:val="600" w:hRule="atLeast"/>
        </w:trPr>
        <w:tc>
          <w:tcPr>
            <w:tcW w:type="pct" w:w="100%"/>
            <w:gridSpan w:val="7"/>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Level of Qualification</w:t>
            </w:r>
          </w:p>
        </w:tc>
      </w:tr>
      <w:tr>
        <w:trPr>
          <w:tblHeader/>
        </w:trPr>
        <w:tc>
          <w:tcPr>
            <w:tcW w:type="pct" w:w="25%"/>
            <w:gridSpan w:val="1"/>
            <w:shd w:fill="3edbcf" w:color="3edbcf" w:val="solid"/>
            <w:vAlign w:val="center"/>
          </w:tcPr>
          <w:p>
            <w:pPr>
              <w:pStyle w:val="tableHeader"/>
              <w:jc w:val="center"/>
            </w:pPr>
            <w:r>
              <w:t xml:space="preserve">Indicator</w:t>
            </w:r>
          </w:p>
        </w:tc>
        <w:tc>
          <w:tcPr>
            <w:tcW w:type="pct" w:w="25%"/>
            <w:gridSpan w:val="2"/>
            <w:shd w:fill="3edbcf" w:color="3edbcf" w:val="solid"/>
            <w:vAlign w:val="center"/>
          </w:tcPr>
          <w:p>
            <w:pPr>
              <w:pStyle w:val="tableHeader"/>
              <w:jc w:val="center"/>
            </w:pPr>
            <w:r>
              <w:t xml:space="preserve">Hipperholme and Lightcliffe</w:t>
            </w:r>
          </w:p>
        </w:tc>
        <w:tc>
          <w:tcPr>
            <w:tcW w:type="pct" w:w="25%"/>
            <w:gridSpan w:val="2"/>
            <w:shd w:fill="3edbcf" w:color="3edbcf" w:val="solid"/>
            <w:vAlign w:val="center"/>
          </w:tcPr>
          <w:p>
            <w:pPr>
              <w:pStyle w:val="tableHeader"/>
              <w:jc w:val="center"/>
            </w:pPr>
            <w:r>
              <w:t xml:space="preserve">Calderdale</w:t>
            </w:r>
          </w:p>
        </w:tc>
        <w:tc>
          <w:tcPr>
            <w:tcW w:type="pct" w:w="25%"/>
            <w:gridSpan w:val="2"/>
            <w:shd w:fill="3edbcf" w:color="3edbcf" w:val="solid"/>
            <w:vAlign w:val="center"/>
          </w:tcPr>
          <w:p>
            <w:pPr>
              <w:pStyle w:val="tableHeader"/>
              <w:jc w:val="center"/>
            </w:pPr>
            <w:r>
              <w:t xml:space="preserve">Yorkshire and The Humber</w:t>
            </w:r>
          </w:p>
        </w:tc>
      </w:tr>
      <w:tr>
        <w:trPr>
          <w:tblHeader/>
        </w:trPr>
        <w:tc>
          <w:tcPr>
            <w:tcW w:type="pct" w:w="25%"/>
            <w:vAlign w:val="center"/>
          </w:tcPr>
          <w:p>
            <w:pPr>
              <w:pStyle w:val="tableHeader"/>
              <w:jc w:val="center"/>
            </w:pP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r>
      <w:tr>
        <w:tc>
          <w:tcPr>
            <w:tcW w:type="pct" w:w="25%"/>
            <w:tcMar>
              <w:top w:type="dxa" w:w="0"/>
              <w:left w:type="dxa" w:w="100"/>
              <w:bottom w:type="dxa" w:w="0"/>
              <w:right w:type="dxa" w:w="0"/>
            </w:tcMar>
            <w:vAlign w:val="center"/>
          </w:tcPr>
          <w:p>
            <w:pPr>
              <w:pStyle w:val="tableData"/>
              <w:keepNext w:val="false"/>
              <w:jc w:val="left"/>
            </w:pPr>
            <w:r>
              <w:t xml:space="preserve">No Qualifications</w:t>
            </w:r>
          </w:p>
        </w:tc>
        <w:tc>
          <w:tcPr>
            <w:tcW w:type="pct" w:w="12.5%"/>
            <w:vAlign w:val="center"/>
          </w:tcPr>
          <w:p>
            <w:pPr>
              <w:pStyle w:val="tableData"/>
              <w:keepNext w:val="false"/>
              <w:jc w:val="center"/>
            </w:pPr>
            <w:r>
              <w:t xml:space="preserve">1,428</w:t>
            </w:r>
          </w:p>
        </w:tc>
        <w:tc>
          <w:tcPr>
            <w:tcW w:type="pct" w:w="12.5%"/>
            <w:vAlign w:val="center"/>
          </w:tcPr>
          <w:p>
            <w:pPr>
              <w:pStyle w:val="tableData"/>
              <w:keepNext w:val="false"/>
              <w:jc w:val="center"/>
            </w:pPr>
            <w:r>
              <w:t xml:space="preserve">15.01%</w:t>
            </w:r>
          </w:p>
        </w:tc>
        <w:tc>
          <w:tcPr>
            <w:tcW w:type="pct" w:w="12.5%"/>
            <w:vAlign w:val="center"/>
          </w:tcPr>
          <w:p>
            <w:pPr>
              <w:pStyle w:val="tableData"/>
              <w:keepNext w:val="false"/>
              <w:jc w:val="center"/>
            </w:pPr>
            <w:r>
              <w:t xml:space="preserve">31,965</w:t>
            </w:r>
          </w:p>
        </w:tc>
        <w:tc>
          <w:tcPr>
            <w:tcW w:type="pct" w:w="12.5%"/>
            <w:vAlign w:val="center"/>
          </w:tcPr>
          <w:p>
            <w:pPr>
              <w:pStyle w:val="tableData"/>
              <w:keepNext w:val="false"/>
              <w:jc w:val="center"/>
            </w:pPr>
            <w:r>
              <w:t xml:space="preserve">19.18%</w:t>
            </w:r>
          </w:p>
        </w:tc>
        <w:tc>
          <w:tcPr>
            <w:tcW w:type="pct" w:w="12.5%"/>
            <w:vAlign w:val="center"/>
          </w:tcPr>
          <w:p>
            <w:pPr>
              <w:pStyle w:val="tableData"/>
              <w:keepNext w:val="false"/>
              <w:jc w:val="center"/>
            </w:pPr>
            <w:r>
              <w:t xml:space="preserve">919,640</w:t>
            </w:r>
          </w:p>
        </w:tc>
        <w:tc>
          <w:tcPr>
            <w:tcW w:type="pct" w:w="12.5%"/>
            <w:vAlign w:val="center"/>
          </w:tcPr>
          <w:p>
            <w:pPr>
              <w:pStyle w:val="tableData"/>
              <w:keepNext w:val="false"/>
              <w:jc w:val="center"/>
            </w:pPr>
            <w:r>
              <w:t xml:space="preserve">20.62%</w:t>
            </w:r>
          </w:p>
        </w:tc>
      </w:tr>
      <w:tr>
        <w:tc>
          <w:tcPr>
            <w:tcW w:type="pct" w:w="25%"/>
            <w:tcMar>
              <w:top w:type="dxa" w:w="0"/>
              <w:left w:type="dxa" w:w="100"/>
              <w:bottom w:type="dxa" w:w="0"/>
              <w:right w:type="dxa" w:w="0"/>
            </w:tcMar>
            <w:vAlign w:val="center"/>
          </w:tcPr>
          <w:p>
            <w:pPr>
              <w:pStyle w:val="tableData"/>
              <w:keepNext w:val="false"/>
              <w:jc w:val="left"/>
            </w:pPr>
            <w:r>
              <w:t xml:space="preserve">Level 1</w:t>
            </w:r>
          </w:p>
        </w:tc>
        <w:tc>
          <w:tcPr>
            <w:tcW w:type="pct" w:w="12.5%"/>
            <w:vAlign w:val="center"/>
          </w:tcPr>
          <w:p>
            <w:pPr>
              <w:pStyle w:val="tableData"/>
              <w:keepNext w:val="false"/>
              <w:jc w:val="center"/>
            </w:pPr>
            <w:r>
              <w:t xml:space="preserve">881</w:t>
            </w:r>
          </w:p>
        </w:tc>
        <w:tc>
          <w:tcPr>
            <w:tcW w:type="pct" w:w="12.5%"/>
            <w:vAlign w:val="center"/>
          </w:tcPr>
          <w:p>
            <w:pPr>
              <w:pStyle w:val="tableData"/>
              <w:keepNext w:val="false"/>
              <w:jc w:val="center"/>
            </w:pPr>
            <w:r>
              <w:t xml:space="preserve">9.26%</w:t>
            </w:r>
          </w:p>
        </w:tc>
        <w:tc>
          <w:tcPr>
            <w:tcW w:type="pct" w:w="12.5%"/>
            <w:vAlign w:val="center"/>
          </w:tcPr>
          <w:p>
            <w:pPr>
              <w:pStyle w:val="tableData"/>
              <w:keepNext w:val="false"/>
              <w:jc w:val="center"/>
            </w:pPr>
            <w:r>
              <w:t xml:space="preserve">16,313</w:t>
            </w:r>
          </w:p>
        </w:tc>
        <w:tc>
          <w:tcPr>
            <w:tcW w:type="pct" w:w="12.5%"/>
            <w:vAlign w:val="center"/>
          </w:tcPr>
          <w:p>
            <w:pPr>
              <w:pStyle w:val="tableData"/>
              <w:keepNext w:val="false"/>
              <w:jc w:val="center"/>
            </w:pPr>
            <w:r>
              <w:t xml:space="preserve">9.79%</w:t>
            </w:r>
          </w:p>
        </w:tc>
        <w:tc>
          <w:tcPr>
            <w:tcW w:type="pct" w:w="12.5%"/>
            <w:vAlign w:val="center"/>
          </w:tcPr>
          <w:p>
            <w:pPr>
              <w:pStyle w:val="tableData"/>
              <w:keepNext w:val="false"/>
              <w:jc w:val="center"/>
            </w:pPr>
            <w:r>
              <w:t xml:space="preserve">449,065</w:t>
            </w:r>
          </w:p>
        </w:tc>
        <w:tc>
          <w:tcPr>
            <w:tcW w:type="pct" w:w="12.5%"/>
            <w:vAlign w:val="center"/>
          </w:tcPr>
          <w:p>
            <w:pPr>
              <w:pStyle w:val="tableData"/>
              <w:keepNext w:val="false"/>
              <w:jc w:val="center"/>
            </w:pPr>
            <w:r>
              <w:t xml:space="preserve">10.07%</w:t>
            </w:r>
          </w:p>
        </w:tc>
      </w:tr>
      <w:tr>
        <w:tc>
          <w:tcPr>
            <w:tcW w:type="pct" w:w="25%"/>
            <w:tcMar>
              <w:top w:type="dxa" w:w="0"/>
              <w:left w:type="dxa" w:w="100"/>
              <w:bottom w:type="dxa" w:w="0"/>
              <w:right w:type="dxa" w:w="0"/>
            </w:tcMar>
            <w:vAlign w:val="center"/>
          </w:tcPr>
          <w:p>
            <w:pPr>
              <w:pStyle w:val="tableData"/>
              <w:keepNext w:val="false"/>
              <w:jc w:val="left"/>
            </w:pPr>
            <w:r>
              <w:t xml:space="preserve">Level 2</w:t>
            </w:r>
          </w:p>
        </w:tc>
        <w:tc>
          <w:tcPr>
            <w:tcW w:type="pct" w:w="12.5%"/>
            <w:vAlign w:val="center"/>
          </w:tcPr>
          <w:p>
            <w:pPr>
              <w:pStyle w:val="tableData"/>
              <w:keepNext w:val="false"/>
              <w:jc w:val="center"/>
            </w:pPr>
            <w:r>
              <w:t xml:space="preserve">1,293</w:t>
            </w:r>
          </w:p>
        </w:tc>
        <w:tc>
          <w:tcPr>
            <w:tcW w:type="pct" w:w="12.5%"/>
            <w:vAlign w:val="center"/>
          </w:tcPr>
          <w:p>
            <w:pPr>
              <w:pStyle w:val="tableData"/>
              <w:keepNext w:val="false"/>
              <w:jc w:val="center"/>
            </w:pPr>
            <w:r>
              <w:t xml:space="preserve">13.59%</w:t>
            </w:r>
          </w:p>
        </w:tc>
        <w:tc>
          <w:tcPr>
            <w:tcW w:type="pct" w:w="12.5%"/>
            <w:vAlign w:val="center"/>
          </w:tcPr>
          <w:p>
            <w:pPr>
              <w:pStyle w:val="tableData"/>
              <w:keepNext w:val="false"/>
              <w:jc w:val="center"/>
            </w:pPr>
            <w:r>
              <w:t xml:space="preserve">23,351</w:t>
            </w:r>
          </w:p>
        </w:tc>
        <w:tc>
          <w:tcPr>
            <w:tcW w:type="pct" w:w="12.5%"/>
            <w:vAlign w:val="center"/>
          </w:tcPr>
          <w:p>
            <w:pPr>
              <w:pStyle w:val="tableData"/>
              <w:keepNext w:val="false"/>
              <w:jc w:val="center"/>
            </w:pPr>
            <w:r>
              <w:t xml:space="preserve">14.01%</w:t>
            </w:r>
          </w:p>
        </w:tc>
        <w:tc>
          <w:tcPr>
            <w:tcW w:type="pct" w:w="12.5%"/>
            <w:vAlign w:val="center"/>
          </w:tcPr>
          <w:p>
            <w:pPr>
              <w:pStyle w:val="tableData"/>
              <w:keepNext w:val="false"/>
              <w:jc w:val="center"/>
            </w:pPr>
            <w:r>
              <w:t xml:space="preserve">607,396</w:t>
            </w:r>
          </w:p>
        </w:tc>
        <w:tc>
          <w:tcPr>
            <w:tcW w:type="pct" w:w="12.5%"/>
            <w:vAlign w:val="center"/>
          </w:tcPr>
          <w:p>
            <w:pPr>
              <w:pStyle w:val="tableData"/>
              <w:keepNext w:val="false"/>
              <w:jc w:val="center"/>
            </w:pPr>
            <w:r>
              <w:t xml:space="preserve">13.62%</w:t>
            </w:r>
          </w:p>
        </w:tc>
      </w:tr>
      <w:tr>
        <w:tc>
          <w:tcPr>
            <w:tcW w:type="pct" w:w="25%"/>
            <w:tcMar>
              <w:top w:type="dxa" w:w="0"/>
              <w:left w:type="dxa" w:w="100"/>
              <w:bottom w:type="dxa" w:w="0"/>
              <w:right w:type="dxa" w:w="0"/>
            </w:tcMar>
            <w:vAlign w:val="center"/>
          </w:tcPr>
          <w:p>
            <w:pPr>
              <w:pStyle w:val="tableData"/>
              <w:keepNext w:val="false"/>
              <w:jc w:val="left"/>
            </w:pPr>
            <w:r>
              <w:t xml:space="preserve">Apprenticeship</w:t>
            </w:r>
          </w:p>
        </w:tc>
        <w:tc>
          <w:tcPr>
            <w:tcW w:type="pct" w:w="12.5%"/>
            <w:vAlign w:val="center"/>
          </w:tcPr>
          <w:p>
            <w:pPr>
              <w:pStyle w:val="tableData"/>
              <w:keepNext w:val="false"/>
              <w:jc w:val="center"/>
            </w:pPr>
            <w:r>
              <w:t xml:space="preserve">564</w:t>
            </w:r>
          </w:p>
        </w:tc>
        <w:tc>
          <w:tcPr>
            <w:tcW w:type="pct" w:w="12.5%"/>
            <w:vAlign w:val="center"/>
          </w:tcPr>
          <w:p>
            <w:pPr>
              <w:pStyle w:val="tableData"/>
              <w:keepNext w:val="false"/>
              <w:jc w:val="center"/>
            </w:pPr>
            <w:r>
              <w:t xml:space="preserve">5.93%</w:t>
            </w:r>
          </w:p>
        </w:tc>
        <w:tc>
          <w:tcPr>
            <w:tcW w:type="pct" w:w="12.5%"/>
            <w:vAlign w:val="center"/>
          </w:tcPr>
          <w:p>
            <w:pPr>
              <w:pStyle w:val="tableData"/>
              <w:keepNext w:val="false"/>
              <w:jc w:val="center"/>
            </w:pPr>
            <w:r>
              <w:t xml:space="preserve">10,524</w:t>
            </w:r>
          </w:p>
        </w:tc>
        <w:tc>
          <w:tcPr>
            <w:tcW w:type="pct" w:w="12.5%"/>
            <w:vAlign w:val="center"/>
          </w:tcPr>
          <w:p>
            <w:pPr>
              <w:pStyle w:val="tableData"/>
              <w:keepNext w:val="false"/>
              <w:jc w:val="center"/>
            </w:pPr>
            <w:r>
              <w:t xml:space="preserve">6.32%</w:t>
            </w:r>
          </w:p>
        </w:tc>
        <w:tc>
          <w:tcPr>
            <w:tcW w:type="pct" w:w="12.5%"/>
            <w:vAlign w:val="center"/>
          </w:tcPr>
          <w:p>
            <w:pPr>
              <w:pStyle w:val="tableData"/>
              <w:keepNext w:val="false"/>
              <w:jc w:val="center"/>
            </w:pPr>
            <w:r>
              <w:t xml:space="preserve">273,719</w:t>
            </w:r>
          </w:p>
        </w:tc>
        <w:tc>
          <w:tcPr>
            <w:tcW w:type="pct" w:w="12.5%"/>
            <w:vAlign w:val="center"/>
          </w:tcPr>
          <w:p>
            <w:pPr>
              <w:pStyle w:val="tableData"/>
              <w:keepNext w:val="false"/>
              <w:jc w:val="center"/>
            </w:pPr>
            <w:r>
              <w:t xml:space="preserve">6.14%</w:t>
            </w:r>
          </w:p>
        </w:tc>
      </w:tr>
      <w:tr>
        <w:tc>
          <w:tcPr>
            <w:tcW w:type="pct" w:w="25%"/>
            <w:tcMar>
              <w:top w:type="dxa" w:w="0"/>
              <w:left w:type="dxa" w:w="100"/>
              <w:bottom w:type="dxa" w:w="0"/>
              <w:right w:type="dxa" w:w="0"/>
            </w:tcMar>
            <w:vAlign w:val="center"/>
          </w:tcPr>
          <w:p>
            <w:pPr>
              <w:pStyle w:val="tableData"/>
              <w:keepNext w:val="false"/>
              <w:jc w:val="left"/>
            </w:pPr>
            <w:r>
              <w:t xml:space="preserve">Level 3</w:t>
            </w:r>
          </w:p>
        </w:tc>
        <w:tc>
          <w:tcPr>
            <w:tcW w:type="pct" w:w="12.5%"/>
            <w:vAlign w:val="center"/>
          </w:tcPr>
          <w:p>
            <w:pPr>
              <w:pStyle w:val="tableData"/>
              <w:keepNext w:val="false"/>
              <w:jc w:val="center"/>
            </w:pPr>
            <w:r>
              <w:t xml:space="preserve">1,767</w:t>
            </w:r>
          </w:p>
        </w:tc>
        <w:tc>
          <w:tcPr>
            <w:tcW w:type="pct" w:w="12.5%"/>
            <w:vAlign w:val="center"/>
          </w:tcPr>
          <w:p>
            <w:pPr>
              <w:pStyle w:val="tableData"/>
              <w:keepNext w:val="false"/>
              <w:jc w:val="center"/>
            </w:pPr>
            <w:r>
              <w:t xml:space="preserve">18.57%</w:t>
            </w:r>
          </w:p>
        </w:tc>
        <w:tc>
          <w:tcPr>
            <w:tcW w:type="pct" w:w="12.5%"/>
            <w:vAlign w:val="center"/>
          </w:tcPr>
          <w:p>
            <w:pPr>
              <w:pStyle w:val="tableData"/>
              <w:keepNext w:val="false"/>
              <w:jc w:val="center"/>
            </w:pPr>
            <w:r>
              <w:t xml:space="preserve">29,096</w:t>
            </w:r>
          </w:p>
        </w:tc>
        <w:tc>
          <w:tcPr>
            <w:tcW w:type="pct" w:w="12.5%"/>
            <w:vAlign w:val="center"/>
          </w:tcPr>
          <w:p>
            <w:pPr>
              <w:pStyle w:val="tableData"/>
              <w:keepNext w:val="false"/>
              <w:jc w:val="center"/>
            </w:pPr>
            <w:r>
              <w:t xml:space="preserve">17.46%</w:t>
            </w:r>
          </w:p>
        </w:tc>
        <w:tc>
          <w:tcPr>
            <w:tcW w:type="pct" w:w="12.5%"/>
            <w:vAlign w:val="center"/>
          </w:tcPr>
          <w:p>
            <w:pPr>
              <w:pStyle w:val="tableData"/>
              <w:keepNext w:val="false"/>
              <w:jc w:val="center"/>
            </w:pPr>
            <w:r>
              <w:t xml:space="preserve">777,070</w:t>
            </w:r>
          </w:p>
        </w:tc>
        <w:tc>
          <w:tcPr>
            <w:tcW w:type="pct" w:w="12.5%"/>
            <w:vAlign w:val="center"/>
          </w:tcPr>
          <w:p>
            <w:pPr>
              <w:pStyle w:val="tableData"/>
              <w:keepNext w:val="false"/>
              <w:jc w:val="center"/>
            </w:pPr>
            <w:r>
              <w:t xml:space="preserve">17.42%</w:t>
            </w:r>
          </w:p>
        </w:tc>
      </w:tr>
      <w:tr>
        <w:tc>
          <w:tcPr>
            <w:tcW w:type="pct" w:w="25%"/>
            <w:tcMar>
              <w:top w:type="dxa" w:w="0"/>
              <w:left w:type="dxa" w:w="100"/>
              <w:bottom w:type="dxa" w:w="0"/>
              <w:right w:type="dxa" w:w="0"/>
            </w:tcMar>
            <w:vAlign w:val="center"/>
          </w:tcPr>
          <w:p>
            <w:pPr>
              <w:pStyle w:val="tableData"/>
              <w:keepNext w:val="false"/>
              <w:jc w:val="left"/>
            </w:pPr>
            <w:r>
              <w:t xml:space="preserve">Level 4+</w:t>
            </w:r>
          </w:p>
        </w:tc>
        <w:tc>
          <w:tcPr>
            <w:tcW w:type="pct" w:w="12.5%"/>
            <w:vAlign w:val="center"/>
          </w:tcPr>
          <w:p>
            <w:pPr>
              <w:pStyle w:val="tableData"/>
              <w:keepNext w:val="false"/>
              <w:jc w:val="center"/>
            </w:pPr>
            <w:r>
              <w:t xml:space="preserve">3,383</w:t>
            </w:r>
          </w:p>
        </w:tc>
        <w:tc>
          <w:tcPr>
            <w:tcW w:type="pct" w:w="12.5%"/>
            <w:vAlign w:val="center"/>
          </w:tcPr>
          <w:p>
            <w:pPr>
              <w:pStyle w:val="tableData"/>
              <w:keepNext w:val="false"/>
              <w:jc w:val="center"/>
            </w:pPr>
            <w:r>
              <w:t xml:space="preserve">35.56%</w:t>
            </w:r>
          </w:p>
        </w:tc>
        <w:tc>
          <w:tcPr>
            <w:tcW w:type="pct" w:w="12.5%"/>
            <w:vAlign w:val="center"/>
          </w:tcPr>
          <w:p>
            <w:pPr>
              <w:pStyle w:val="tableData"/>
              <w:keepNext w:val="false"/>
              <w:jc w:val="center"/>
            </w:pPr>
            <w:r>
              <w:t xml:space="preserve">51,419</w:t>
            </w:r>
          </w:p>
        </w:tc>
        <w:tc>
          <w:tcPr>
            <w:tcW w:type="pct" w:w="12.5%"/>
            <w:vAlign w:val="center"/>
          </w:tcPr>
          <w:p>
            <w:pPr>
              <w:pStyle w:val="tableData"/>
              <w:keepNext w:val="false"/>
              <w:jc w:val="center"/>
            </w:pPr>
            <w:r>
              <w:t xml:space="preserve">30.86%</w:t>
            </w:r>
          </w:p>
        </w:tc>
        <w:tc>
          <w:tcPr>
            <w:tcW w:type="pct" w:w="12.5%"/>
            <w:vAlign w:val="center"/>
          </w:tcPr>
          <w:p>
            <w:pPr>
              <w:pStyle w:val="tableData"/>
              <w:keepNext w:val="false"/>
              <w:jc w:val="center"/>
            </w:pPr>
            <w:r>
              <w:t xml:space="preserve">1,315,456</w:t>
            </w:r>
          </w:p>
        </w:tc>
        <w:tc>
          <w:tcPr>
            <w:tcW w:type="pct" w:w="12.5%"/>
            <w:vAlign w:val="center"/>
          </w:tcPr>
          <w:p>
            <w:pPr>
              <w:pStyle w:val="tableData"/>
              <w:keepNext w:val="false"/>
              <w:jc w:val="center"/>
            </w:pPr>
            <w:r>
              <w:t xml:space="preserve">29.49%</w:t>
            </w:r>
          </w:p>
        </w:tc>
      </w:tr>
      <w:tr>
        <w:tc>
          <w:tcPr>
            <w:tcW w:type="pct" w:w="25%"/>
            <w:tcMar>
              <w:top w:type="dxa" w:w="0"/>
              <w:left w:type="dxa" w:w="100"/>
              <w:bottom w:type="dxa" w:w="0"/>
              <w:right w:type="dxa" w:w="0"/>
            </w:tcMar>
            <w:vAlign w:val="center"/>
          </w:tcPr>
          <w:p>
            <w:pPr>
              <w:pStyle w:val="tableData"/>
              <w:keepNext/>
              <w:jc w:val="left"/>
            </w:pPr>
            <w:r>
              <w:t xml:space="preserve">Other</w:t>
            </w:r>
          </w:p>
        </w:tc>
        <w:tc>
          <w:tcPr>
            <w:tcW w:type="pct" w:w="12.5%"/>
            <w:vAlign w:val="center"/>
          </w:tcPr>
          <w:p>
            <w:pPr>
              <w:pStyle w:val="tableData"/>
              <w:keepNext/>
              <w:jc w:val="center"/>
            </w:pPr>
            <w:r>
              <w:t xml:space="preserve">198</w:t>
            </w:r>
          </w:p>
        </w:tc>
        <w:tc>
          <w:tcPr>
            <w:tcW w:type="pct" w:w="12.5%"/>
            <w:vAlign w:val="center"/>
          </w:tcPr>
          <w:p>
            <w:pPr>
              <w:pStyle w:val="tableData"/>
              <w:keepNext/>
              <w:jc w:val="center"/>
            </w:pPr>
            <w:r>
              <w:t xml:space="preserve">2.08%</w:t>
            </w:r>
          </w:p>
        </w:tc>
        <w:tc>
          <w:tcPr>
            <w:tcW w:type="pct" w:w="12.5%"/>
            <w:vAlign w:val="center"/>
          </w:tcPr>
          <w:p>
            <w:pPr>
              <w:pStyle w:val="tableData"/>
              <w:keepNext/>
              <w:jc w:val="center"/>
            </w:pPr>
            <w:r>
              <w:t xml:space="preserve">3,966</w:t>
            </w:r>
          </w:p>
        </w:tc>
        <w:tc>
          <w:tcPr>
            <w:tcW w:type="pct" w:w="12.5%"/>
            <w:vAlign w:val="center"/>
          </w:tcPr>
          <w:p>
            <w:pPr>
              <w:pStyle w:val="tableData"/>
              <w:keepNext/>
              <w:jc w:val="center"/>
            </w:pPr>
            <w:r>
              <w:t xml:space="preserve">2.38%</w:t>
            </w:r>
          </w:p>
        </w:tc>
        <w:tc>
          <w:tcPr>
            <w:tcW w:type="pct" w:w="12.5%"/>
            <w:vAlign w:val="center"/>
          </w:tcPr>
          <w:p>
            <w:pPr>
              <w:pStyle w:val="tableData"/>
              <w:keepNext/>
              <w:jc w:val="center"/>
            </w:pPr>
            <w:r>
              <w:t xml:space="preserve">117,953</w:t>
            </w:r>
          </w:p>
        </w:tc>
        <w:tc>
          <w:tcPr>
            <w:tcW w:type="pct" w:w="12.5%"/>
            <w:vAlign w:val="center"/>
          </w:tcPr>
          <w:p>
            <w:pPr>
              <w:pStyle w:val="tableData"/>
              <w:keepNext/>
              <w:jc w:val="center"/>
            </w:pPr>
            <w:r>
              <w:t xml:space="preserve">2.64%</w:t>
            </w:r>
          </w:p>
        </w:tc>
      </w:tr>
      <w:tr>
        <w:trPr>
          <w:cantSplit/>
        </w:trPr>
        <w:tc>
          <w:tcPr>
            <w:gridSpan w:val="7"/>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Census 2021</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No Qualifications Over Time</w:t>
      </w:r>
      <w:r>
        <w:t xml:space="preserve"/>
      </w:r>
      <w:hyperlink w:history="1" r:id="rIdeveavpn4gieiarbflpvek">
        <w:r>
          <w:rPr>
            <w:rStyle w:val="Hyperlink"/>
          </w:rPr>
          <w:t xml:space="preserve"/>
        </w:r>
      </w:hyperlink>
      <w:r>
        <w:t xml:space="preserve"/>
      </w:r>
    </w:p>
    <w:p>
      <w:pPr>
        <w:pStyle w:val="bodyText"/>
        <w:spacing w:before="200" w:after="200"/>
      </w:pPr>
      <w:r>
        <w:t xml:space="preserve"/>
      </w:r>
      <w:hyperlink w:history="1" r:id="rIdqeyoxcyu5wv1adp6jnis7">
        <w:r>
          <w:rPr>
            <w:rStyle w:val="Hyperlink"/>
          </w:rPr>
          <w:t xml:space="preserve"/>
        </w:r>
      </w:hyperlink>
      <w:r>
        <w:t xml:space="preserve"/>
      </w:r>
    </w:p>
    <w:p>
      <w:pPr>
        <w:pStyle w:val="bodyText"/>
        <w:spacing w:before="200" w:after="200"/>
      </w:pPr>
      <w:r>
        <w:t xml:space="preserve">The bar chart below is a visualisation of the change in the proportion of people with no qualifications over a 10 year period by comparing data from Census 2011 to Census 2021.</w:t>
      </w:r>
      <w:hyperlink w:history="1" r:id="rIdw-xh-b5lo0pzs6eqdlexl">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No Qualifications (2011 vs. 2021)</w:t>
            </w:r>
          </w:p>
        </w:tc>
      </w:tr>
      <w:tr>
        <w:trPr>
          <w:tblHeader/>
        </w:trPr>
        <w:tc>
          <w:tcPr>
            <w:vAlign w:val="center"/>
          </w:tcPr>
          <w:p>
            <w:r>
              <w:drawing>
                <wp:inline distT="0" distB="0" distL="0" distR="0">
                  <wp:extent cx="9096375" cy="4381500"/>
                  <wp:effectExtent t="0" r="0" b="0" l="0"/>
                  <wp:docPr id="1" name="Chart for No Qualifications (2011 vs. 2021)" descr="This chart shows No Qualifications (2011 vs. 2021). A textual description is provided elsewhere in this report." title="Chart No Qualifications (2011 vs.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Census 2021</w:t>
            </w:r>
          </w:p>
        </w:tc>
      </w:tr>
    </w:tbl>
    <w:p>
      <w:pPr>
        <w:spacing w:line="0.5" w:after="400"/>
      </w:pPr>
    </w:p>
    <w:p>
      <w:pPr>
        <w:sectPr>
          <w:footerReference w:type="default" r:id="rId14"/>
          <w:pgSz w:w="16838" w:h="11906" w:orient="landscape"/>
          <w:pgMar w:top="1270" w:right="1270" w:bottom="1270" w:left="1270" w:header="708" w:footer="708" w:gutter="0"/>
          <w:pgNumType/>
          <w:docGrid w:linePitch="360"/>
        </w:sectPr>
      </w:pPr>
    </w:p>
    <w:p>
      <w:pPr>
        <w:pStyle w:val="Heading1"/>
      </w:pPr>
      <w:bookmarkStart w:name="theme_section_6" w:id="1"/>
      <w:r>
        <w:t xml:space="preserve">Employment</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Full-Time and Part-Time Jobs</w:t>
      </w:r>
      <w:r>
        <w:t xml:space="preserve"/>
      </w:r>
      <w:hyperlink w:history="1" r:id="rIdeduj6gs4bri6thegz17md">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chart below shows the number (rounded to the nearest 1,000) and proportion of all employee jobs that are full-time and part-time. Data is taken from the 2024 Business Register and Employment Survey (BRES) of approximately 80,000 businesses and weighted to represent all sectors of the UK economy.</w:t>
      </w:r>
      <w:hyperlink w:history="1" r:id="rId0zsbpjgdf0rlemhqzpoha">
        <w:r>
          <w:rPr>
            <w:rStyle w:val="Hyperlink"/>
          </w:rPr>
          <w:t xml:space="preserve"/>
        </w:r>
      </w:hyperlink>
      <w:r>
        <w:t xml:space="preserve"/>
      </w:r>
    </w:p>
    <w:p>
      <w:pPr>
        <w:pStyle w:val="bodyText"/>
        <w:spacing w:before="200" w:after="200"/>
      </w:pPr>
      <w:r>
        <w:t xml:space="preserve">There are approximately 1,500 full-time jobs and 800 part-time jobs in Hipperholme and Lightcliffe. The proportion of full-time jobs in Hipperholme and Lightcliffe (66.67%) is lower than the proportion in Calderdale (67.78%) and lower than the proportion in Yorkshire and The Humber (68.15%).</w:t>
      </w:r>
      <w:hyperlink w:history="1" r:id="rIdrlmykz-goemsknz5j0ye0">
        <w:r>
          <w:rPr>
            <w:rStyle w:val="Hyperlink"/>
          </w:rPr>
          <w:t xml:space="preserve"/>
        </w:r>
      </w:hyperlink>
      <w:r>
        <w:t xml:space="preserve"/>
      </w:r>
    </w:p>
    <w:p>
      <w:pPr>
        <w:pStyle w:val="bodyText"/>
        <w:spacing w:before="200" w:after="200"/>
      </w:pPr>
      <w:r>
        <w:t xml:space="preserve"> </w:t>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Full-Time and Part-Time Jobs</w:t>
            </w:r>
          </w:p>
        </w:tc>
      </w:tr>
      <w:tr>
        <w:trPr>
          <w:tblHeader/>
        </w:trPr>
        <w:tc>
          <w:tcPr>
            <w:vAlign w:val="center"/>
          </w:tcPr>
          <w:p>
            <w:r>
              <w:drawing>
                <wp:inline distT="0" distB="0" distL="0" distR="0">
                  <wp:extent cx="9096375" cy="4381500"/>
                  <wp:effectExtent t="0" r="0" b="0" l="0"/>
                  <wp:docPr id="1" name="Chart for Full-Time and Part-Time Jobs" descr="This chart shows Full-Time and Part-Time Jobs. A textual description is provided elsewhere in this report." title="Chart Full-Time and Part-Time Jo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Business Register and Employment Survey (BRES)</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Jobs Density</w:t>
      </w:r>
      <w:r>
        <w:t xml:space="preserve"/>
      </w:r>
      <w:hyperlink w:history="1" r:id="rIdsohs-omdgn7p1dww8x5pm">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chart below shows a time series of job density between 2011 and 2024 across Hipperholme and Lightcliffe, Calderdale, Yorkshire and The Humber. Jobs density reflects the number of jobs located in the local area as a percentage of the working age population in that area. Data is taken from the Business Register and Employment Survey (BRES) of approximately 80,000 businesses and weighted to represent all sectors of the UK economy.</w:t>
      </w:r>
      <w:hyperlink w:history="1" r:id="rIdjm3ytv8sblduyv0l-76bt">
        <w:r>
          <w:rPr>
            <w:rStyle w:val="Hyperlink"/>
          </w:rPr>
          <w:t xml:space="preserve"/>
        </w:r>
      </w:hyperlink>
      <w:r>
        <w:t xml:space="preserve"/>
      </w:r>
    </w:p>
    <w:p>
      <w:pPr>
        <w:pStyle w:val="bodyText"/>
        <w:spacing w:before="200" w:after="200"/>
      </w:pPr>
      <w:r>
        <w:t xml:space="preserve">In Hipperholme and Lightcliffe, the jobs density has decreased, from 41.06 in 2011 to 35.31 in 2024. This latest figure is lower than the ratio in Calderdale (70.83) and lower than the ratio in Yorkshire and The Humber (72.71).</w:t>
      </w:r>
      <w:hyperlink w:history="1" r:id="rIdmxra1hieyly72j6joqid1">
        <w:r>
          <w:rPr>
            <w:rStyle w:val="Hyperlink"/>
          </w:rPr>
          <w:t xml:space="preserve"/>
        </w:r>
      </w:hyperlink>
      <w:r>
        <w:t xml:space="preserve"/>
      </w:r>
    </w:p>
    <w:p>
      <w:pPr>
        <w:pStyle w:val="bodyText"/>
        <w:spacing w:before="200" w:after="200"/>
      </w:pPr>
      <w:r>
        <w:t xml:space="preserve"/>
      </w:r>
      <w:r>
        <w:rPr>
          <w:i/>
          <w:iCs/>
        </w:rPr>
        <w:t xml:space="preserve">The BRES definition of an employee is anyone working on the BRES reference date who is aged 16 years or over that the contributor directly pays from its payroll(s), in return for carrying out a full-time or part-time job or being on a training scheme.</w:t>
      </w:r>
      <w:r>
        <w:t xml:space="preserve"/>
      </w:r>
      <w:hyperlink w:history="1" r:id="rId86r6ujjwcgy0t8t3bloa8">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Jobs Density</w:t>
            </w:r>
          </w:p>
        </w:tc>
      </w:tr>
      <w:tr>
        <w:trPr>
          <w:tblHeader/>
        </w:trPr>
        <w:tc>
          <w:tcPr>
            <w:vAlign w:val="center"/>
          </w:tcPr>
          <w:p>
            <w:r>
              <w:drawing>
                <wp:inline distT="0" distB="0" distL="0" distR="0">
                  <wp:extent cx="9096375" cy="4381500"/>
                  <wp:effectExtent t="0" r="0" b="0" l="0"/>
                  <wp:docPr id="1" name="Chart for Jobs Density" descr="This chart shows Jobs Density. A textual description is provided elsewhere in this report." title="Chart Jobs Den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Business Register and Employment Survey (BRES)</w:t>
            </w:r>
          </w:p>
        </w:tc>
      </w:tr>
    </w:tbl>
    <w:p>
      <w:pPr>
        <w:spacing w:line="0.5" w:after="400"/>
      </w:pPr>
    </w:p>
    <w:p>
      <w:pPr>
        <w:sectPr>
          <w:footerReference w:type="default" r:id="rId15"/>
          <w:pgSz w:w="16838" w:h="11906" w:orient="landscape"/>
          <w:pgMar w:top="1270" w:right="1270" w:bottom="1270" w:left="1270" w:header="708" w:footer="708" w:gutter="0"/>
          <w:pgNumType/>
          <w:docGrid w:linePitch="360"/>
        </w:sectPr>
      </w:pPr>
    </w:p>
    <w:p>
      <w:pPr>
        <w:pStyle w:val="Heading1"/>
      </w:pPr>
      <w:bookmarkStart w:name="theme_section_7" w:id="1"/>
      <w:r>
        <w:t xml:space="preserve">Communities and Environment</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Community Needs Index (CNI) Ranks</w:t>
      </w:r>
      <w:r>
        <w:t xml:space="preserve"/>
      </w:r>
      <w:hyperlink w:history="1" r:id="rIdqodrz3dyhozzyuehaznqn">
        <w:r>
          <w:rPr>
            <w:rStyle w:val="Hyperlink"/>
          </w:rPr>
          <w:t xml:space="preserve"/>
        </w:r>
      </w:hyperlink>
      <w:r>
        <w:t xml:space="preserve"/>
      </w:r>
    </w:p>
    <w:p>
      <w:pPr>
        <w:pStyle w:val="bodyText"/>
        <w:spacing w:before="200" w:after="200"/>
      </w:pPr>
      <w:r>
        <w:t xml:space="preserve"/>
      </w:r>
      <w:hyperlink w:history="1" r:id="rIdsb1kotxfndl2luij4cryg">
        <w:r>
          <w:rPr>
            <w:rStyle w:val="Hyperlink"/>
          </w:rPr>
          <w:t xml:space="preserve"/>
        </w:r>
      </w:hyperlink>
      <w:r>
        <w:t xml:space="preserve"/>
      </w:r>
    </w:p>
    <w:p>
      <w:pPr>
        <w:pStyle w:val="bodyText"/>
        <w:spacing w:before="200" w:after="200"/>
      </w:pPr>
      <w:r>
        <w:t xml:space="preserve">The chart below shows the overall rank on the 2023 Community Needs Index (CNI), as well as a rank on each of the three CNI domains for Hipperholme and Lightcliffe, Calderdale, Yorkshire and The Humber. The CNI was developed to identify areas experiencing poor community and civic infrastructure, relative isolation and low levels of participation in community life. The index was created by combining a series of 28 indicators, conceptualised under three domains: Civic Assets, Connectedness and Active and Engaged Community. A lower rank indicates that an area has relatively higher levels of need.</w:t>
      </w:r>
      <w:hyperlink w:history="1" r:id="rIdd4rz9fccpec3wjecgkg0f">
        <w:r>
          <w:rPr>
            <w:rStyle w:val="Hyperlink"/>
          </w:rPr>
          <w:t xml:space="preserve"/>
        </w:r>
      </w:hyperlink>
      <w:r>
        <w:t xml:space="preserve"/>
      </w:r>
    </w:p>
    <w:p>
      <w:pPr>
        <w:pStyle w:val="ListParagraph"/>
        <w:pStyle w:val="bodyText"/>
        <w:numPr>
          <w:ilvl w:val="0"/>
          <w:numId w:val="1"/>
        </w:numPr>
        <w:spacing w:before="200" w:after="200"/>
      </w:pPr>
      <w:r>
        <w:t xml:space="preserve">Civic Assets: measures the presence of key community, civic, educational and cultural assets in a close proximity of the area. These include pubs, libraries, green space, community centres, swimming pools – facilities that provide things to do often, at no or little cost, which are important to how positive a community feels about its area.</w:t>
      </w:r>
      <w:hyperlink w:history="1" r:id="rIdtvnojuc2qggaylh8zwjuu">
        <w:r>
          <w:rPr>
            <w:rStyle w:val="Hyperlink"/>
          </w:rPr>
          <w:t xml:space="preserve"/>
        </w:r>
      </w:hyperlink>
      <w:r>
        <w:t xml:space="preserve"/>
      </w:r>
    </w:p>
    <w:p>
      <w:pPr>
        <w:pStyle w:val="ListParagraph"/>
        <w:pStyle w:val="bodyText"/>
        <w:numPr>
          <w:ilvl w:val="0"/>
          <w:numId w:val="1"/>
        </w:numPr>
        <w:spacing w:before="200" w:after="200"/>
      </w:pPr>
      <w:r>
        <w:t xml:space="preserve">Connectedness: measures the connectivity to key services, digital infrastructure, isolation and strength of the local jobs market. It looks at whether residents have access to key services, such as health services, within a reasonable travel distance. It considers how good public transport and digital infrastructure are and how strong the local job market is.</w:t>
      </w:r>
      <w:hyperlink w:history="1" r:id="rId5g98x3d5c9r6n4ns99x5h">
        <w:r>
          <w:rPr>
            <w:rStyle w:val="Hyperlink"/>
          </w:rPr>
          <w:t xml:space="preserve"/>
        </w:r>
      </w:hyperlink>
      <w:r>
        <w:t xml:space="preserve"/>
      </w:r>
    </w:p>
    <w:p>
      <w:pPr>
        <w:pStyle w:val="ListParagraph"/>
        <w:pStyle w:val="bodyText"/>
        <w:numPr>
          <w:ilvl w:val="0"/>
          <w:numId w:val="1"/>
        </w:numPr>
        <w:spacing w:before="200" w:after="200"/>
      </w:pPr>
      <w:r>
        <w:t xml:space="preserve">Active and Engaged Community: measures the levels of third sector civic and community activity and barriers to participation and engagement. It shows whether charities are active in the area, and whether people appear to be engaged in the broader civic life of their community.</w:t>
      </w:r>
      <w:hyperlink w:history="1" r:id="rIdh56jyqzvqzghv14w9sqm8">
        <w:r>
          <w:rPr>
            <w:rStyle w:val="Hyperlink"/>
          </w:rPr>
          <w:t xml:space="preserve"/>
        </w:r>
      </w:hyperlink>
      <w:r>
        <w:t xml:space="preserve"/>
      </w:r>
    </w:p>
    <w:p>
      <w:pPr>
        <w:pStyle w:val="ListParagraph"/>
        <w:pStyle w:val="bodyText"/>
        <w:numPr>
          <w:ilvl w:val="0"/>
          <w:numId w:val="1"/>
        </w:numPr>
        <w:spacing w:before="200" w:after="200"/>
      </w:pPr>
      <w:r>
        <w:t xml:space="preserve"/>
      </w:r>
      <w:hyperlink w:history="1" r:id="rIdbbzqxkgprvx6i-ccmx9l6">
        <w:r>
          <w:rPr>
            <w:rStyle w:val="Hyperlink"/>
          </w:rPr>
          <w:t xml:space="preserve"/>
        </w:r>
      </w:hyperlink>
      <w:r>
        <w:t xml:space="preserve"/>
      </w:r>
    </w:p>
    <w:p>
      <w:pPr>
        <w:pStyle w:val="bodyText"/>
        <w:spacing w:before="200" w:after="200"/>
      </w:pPr>
      <w:r>
        <w:t xml:space="preserve">Hipperholme and Lightcliffe has an overall CNI rank of 26,632. This means that Hipperholme and Lightcliffe has lower levels of community need than Calderdale (20,620) and lower levels of community need than Yorkshire and The Humber (15,002).</w:t>
      </w:r>
      <w:hyperlink w:history="1" r:id="rIdyvdukya59lvg8sm5wkbq9">
        <w:r>
          <w:rPr>
            <w:rStyle w:val="Hyperlink"/>
          </w:rPr>
          <w:t xml:space="preserve"/>
        </w:r>
      </w:hyperlink>
      <w:r>
        <w:t xml:space="preserve"/>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CNI Rank</w:t>
            </w:r>
          </w:p>
        </w:tc>
      </w:tr>
      <w:tr>
        <w:trPr>
          <w:tblHeader/>
        </w:trPr>
        <w:tc>
          <w:tcPr>
            <w:vAlign w:val="center"/>
          </w:tcPr>
          <w:p>
            <w:r>
              <w:drawing>
                <wp:inline distT="0" distB="0" distL="0" distR="0">
                  <wp:extent cx="9096375" cy="4381500"/>
                  <wp:effectExtent t="0" r="0" b="0" l="0"/>
                  <wp:docPr id="1" name="Chart for CNI Rank" descr="This chart shows CNI Rank. A textual description is provided elsewhere in this report." title="Chart CNI R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Oxford Consultants for Social Inclusion (OCSI)</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Indices of Deprivation (IoD) Air Quality</w:t>
      </w:r>
      <w:r>
        <w:t xml:space="preserve"/>
      </w:r>
      <w:hyperlink w:history="1" r:id="rIdyr96jy-lzsyjsstmxkhuz">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boxes below show modelled estimates of air quality based on the concentration of four pollutants: Nitrogen Dioxide, Benzene, Sulphur Dioxide and Particulates. Values for each of the pollutants were based on 2023 air quality data published by the UK Air Information Resource for 1km grid-squares. A higher concentration indicates that an area is experiencing higher levels of deprivation.</w:t>
      </w:r>
      <w:hyperlink w:history="1" r:id="rIdlkkjxwhz73wqbhdlodpqh">
        <w:r>
          <w:rPr>
            <w:rStyle w:val="Hyperlink"/>
          </w:rPr>
          <w:t xml:space="preserve"/>
        </w:r>
      </w:hyperlink>
      <w:r>
        <w:t xml:space="preserve"/>
      </w:r>
    </w:p>
    <w:p>
      <w:pPr>
        <w:pStyle w:val="bodyText"/>
        <w:spacing w:before="200" w:after="200"/>
      </w:pPr>
      <w:r>
        <w:t xml:space="preserve">Hipperholme and Lightcliffe's estimated concentration of Nitrogen Dioxide is 1.10. This is higher than the concentration in Calderdale (0.89) and higher than the concentration in Yorkshire and The Humber (0.97).</w:t>
      </w:r>
      <w:hyperlink w:history="1" r:id="rId_kvre9bilpsnvukmwcdbf">
        <w:r>
          <w:rPr>
            <w:rStyle w:val="Hyperlink"/>
          </w:rPr>
          <w:t xml:space="preserve"/>
        </w:r>
      </w:hyperlink>
      <w:r>
        <w:t xml:space="preserve"/>
      </w:r>
    </w:p>
    <w:p>
      <w:pPr>
        <w:spacing w:line="0.5" w:after="4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3580"/>
        <w:gridCol w:w="3580"/>
        <w:gridCol w:w="3580"/>
        <w:gridCol w:w="3580"/>
      </w:tblGrid>
      <w:tr>
        <w:trPr>
          <w:cantSplit/>
        </w:trPr>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358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3580"/>
                  <w:gridSpan w:val="4"/>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Nitrogen Dioxide</w:t>
                  </w:r>
                </w:p>
              </w:tc>
            </w:tr>
            <w:tr>
              <w:trPr>
                <w:cantSplit/>
                <w:trHeight w:val="790" w:hRule="atLeast"/>
              </w:trPr>
              <w:tc>
                <w:tcPr>
                  <w:tcW w:type="dxa" w:w="3580"/>
                  <w:gridSpan w:val="4"/>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1.10</w:t>
                  </w:r>
                </w:p>
              </w:tc>
            </w:tr>
            <w:tr>
              <w:trPr>
                <w:cantSplit/>
                <w:trHeight w:val="870" w:hRule="atLeast"/>
              </w:trPr>
              <w:tc>
                <w:tcPr>
                  <w:tcW w:type="dxa" w:w="3580"/>
                  <w:gridSpan w:val="4"/>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0.89, Yorkshire and The Humber = 0.97)</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358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3580"/>
                  <w:gridSpan w:val="4"/>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Benzene</w:t>
                  </w:r>
                </w:p>
              </w:tc>
            </w:tr>
            <w:tr>
              <w:trPr>
                <w:cantSplit/>
                <w:trHeight w:val="790" w:hRule="atLeast"/>
              </w:trPr>
              <w:tc>
                <w:tcPr>
                  <w:tcW w:type="dxa" w:w="3580"/>
                  <w:gridSpan w:val="4"/>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0.10</w:t>
                  </w:r>
                </w:p>
              </w:tc>
            </w:tr>
            <w:tr>
              <w:trPr>
                <w:cantSplit/>
                <w:trHeight w:val="870" w:hRule="atLeast"/>
              </w:trPr>
              <w:tc>
                <w:tcPr>
                  <w:tcW w:type="dxa" w:w="3580"/>
                  <w:gridSpan w:val="4"/>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0.08, Yorkshire and The Humber = 0.08)</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358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3580"/>
                  <w:gridSpan w:val="4"/>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Sulphur Dioxide</w:t>
                  </w:r>
                </w:p>
              </w:tc>
            </w:tr>
            <w:tr>
              <w:trPr>
                <w:cantSplit/>
                <w:trHeight w:val="790" w:hRule="atLeast"/>
              </w:trPr>
              <w:tc>
                <w:tcPr>
                  <w:tcW w:type="dxa" w:w="3580"/>
                  <w:gridSpan w:val="4"/>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0.06</w:t>
                  </w:r>
                </w:p>
              </w:tc>
            </w:tr>
            <w:tr>
              <w:trPr>
                <w:cantSplit/>
                <w:trHeight w:val="870" w:hRule="atLeast"/>
              </w:trPr>
              <w:tc>
                <w:tcPr>
                  <w:tcW w:type="dxa" w:w="3580"/>
                  <w:gridSpan w:val="4"/>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0.05, Yorkshire and The Humber = 0.04)</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358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3580"/>
                  <w:gridSpan w:val="4"/>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Particulates</w:t>
                  </w:r>
                </w:p>
              </w:tc>
            </w:tr>
            <w:tr>
              <w:trPr>
                <w:cantSplit/>
                <w:trHeight w:val="790" w:hRule="atLeast"/>
              </w:trPr>
              <w:tc>
                <w:tcPr>
                  <w:tcW w:type="dxa" w:w="3580"/>
                  <w:gridSpan w:val="4"/>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1.39</w:t>
                  </w:r>
                </w:p>
              </w:tc>
            </w:tr>
            <w:tr>
              <w:trPr>
                <w:cantSplit/>
                <w:trHeight w:val="870" w:hRule="atLeast"/>
              </w:trPr>
              <w:tc>
                <w:tcPr>
                  <w:tcW w:type="dxa" w:w="3580"/>
                  <w:gridSpan w:val="4"/>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1.31, Yorkshire and The Humber = 1.36)</w:t>
                  </w:r>
                </w:p>
              </w:tc>
            </w:tr>
          </w:tbl>
          <w:p/>
        </w:tc>
      </w:tr>
      <w:tr>
        <w:trPr>
          <w:cantSplit/>
        </w:trPr>
        <w:tc>
          <w:tcPr>
            <w:gridSpan w:val="4"/>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Ministry of Housing Communities and Local Government (MHCLG; 2025)</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Funding</w:t>
      </w:r>
      <w:r>
        <w:t xml:space="preserve"/>
      </w:r>
      <w:hyperlink w:history="1" r:id="rIdxi504xmvkm0dweqvkv7cf">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boxes below look at data on community funding, showing a rolling 12 month total combined grant funding per 10,000 of population from ALL grant giving organisation types, this includes: Central Government, Local Governments, Devolved Governments, Lottery Distributors, and Grantmaking Organisations. This is followed by the more granular indicators of the non-government grant giving organisation types (Lottery Distributors, and Grantmaking Organisations).</w:t>
      </w:r>
      <w:hyperlink w:history="1" r:id="rIdhzxxckphf1wg5bumb5kgz">
        <w:r>
          <w:rPr>
            <w:rStyle w:val="Hyperlink"/>
          </w:rPr>
          <w:t xml:space="preserve"/>
        </w:r>
      </w:hyperlink>
      <w:r>
        <w:t xml:space="preserve"/>
      </w:r>
    </w:p>
    <w:p>
      <w:pPr>
        <w:pStyle w:val="bodyText"/>
        <w:spacing w:before="200" w:after="200"/>
      </w:pPr>
      <w:r>
        <w:t xml:space="preserve">The total amount awarded from ALL grant giving organisation types per 10,000 of population from Mar-2025 to Feb-2026 in Hipperholme and Lightcliffe is £0. This is lower than the amount of funding per 10,000 of population across Calderdale (£1,264,036) and lower than the amount of funding per 10,000 of population across Yorkshire and The Humber (£337,545).</w:t>
      </w:r>
      <w:hyperlink w:history="1" r:id="rIdyev_1ca3ov3jwoyuckweb">
        <w:r>
          <w:rPr>
            <w:rStyle w:val="Hyperlink"/>
          </w:rPr>
          <w:t xml:space="preserve"/>
        </w:r>
      </w:hyperlink>
      <w:r>
        <w:t xml:space="preserve"/>
      </w:r>
    </w:p>
    <w:p>
      <w:pPr>
        <w:spacing w:line="0.5" w:after="4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cantSplit/>
        </w:trPr>
        <w:tc>
          <w:tcPr>
            <w:tcBorders>
              <w:top w:val="none" w:color="000000" w:sz="0"/>
              <w:left w:val="none" w:color="000000" w:sz="0"/>
              <w:bottom w:val="none" w:color="000000" w:sz="0"/>
              <w:right w:val="none" w:color="000000" w:sz="0"/>
            </w:tcBorders>
            <w:tcMar>
              <w:top w:type="dxa" w:w="0"/>
              <w:left w:type="dxa" w:w="0"/>
              <w:bottom w:type="dxa" w:w="0"/>
              <w:right w:type="dxa" w:w="0"/>
            </w:tcMar>
          </w:tcPr>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1432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Total amount awarded from all grant giving organisation types per 10,000 of population (12 month total)</w:t>
                  </w:r>
                </w:p>
              </w:tc>
            </w:tr>
            <w:tr>
              <w:trPr>
                <w:cantSplit/>
                <w:trHeight w:val="790" w:hRule="atLeast"/>
              </w:trPr>
              <w:tc>
                <w:tcPr>
                  <w:tcW w:type="dxa" w:w="1432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£0</w:t>
                  </w:r>
                </w:p>
              </w:tc>
            </w:tr>
            <w:tr>
              <w:trPr>
                <w:cantSplit/>
                <w:trHeight w:val="870" w:hRule="atLeast"/>
              </w:trPr>
              <w:tc>
                <w:tcPr>
                  <w:tcW w:type="dxa" w:w="1432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£1,264,036, Yorkshire and The Humber = £337,545)</w:t>
                  </w:r>
                </w:p>
              </w:tc>
            </w:tr>
          </w:tbl>
          <w:p/>
        </w:tc>
      </w:tr>
      <w:tr>
        <w:trPr>
          <w:cantSplit/>
        </w:trPr>
        <w:tc>
          <w:tcPr>
            <w:gridSpan w:val="1"/>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360Giving (Mar-2025 to Feb-2026)</w:t>
            </w:r>
          </w:p>
        </w:tc>
      </w:tr>
    </w:tbl>
    <w:p>
      <w:pPr>
        <w:spacing w:line="0.5" w:after="4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7160"/>
        <w:gridCol w:w="7160"/>
      </w:tblGrid>
      <w:tr>
        <w:trPr>
          <w:cantSplit/>
        </w:trPr>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716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716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Total amount awarded from Lottery Distributors per 10,000 of population (12 month total)</w:t>
                  </w:r>
                </w:p>
              </w:tc>
            </w:tr>
            <w:tr>
              <w:trPr>
                <w:cantSplit/>
                <w:trHeight w:val="790" w:hRule="atLeast"/>
              </w:trPr>
              <w:tc>
                <w:tcPr>
                  <w:tcW w:type="dxa" w:w="716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£0</w:t>
                  </w:r>
                </w:p>
              </w:tc>
            </w:tr>
            <w:tr>
              <w:trPr>
                <w:cantSplit/>
                <w:trHeight w:val="870" w:hRule="atLeast"/>
              </w:trPr>
              <w:tc>
                <w:tcPr>
                  <w:tcW w:type="dxa" w:w="716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£208,128, Yorkshire and The Humber = £62,388)</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716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716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Total amount awarded from Grantmaking Organisations per 10,000 of population (12 month total)</w:t>
                  </w:r>
                </w:p>
              </w:tc>
            </w:tr>
            <w:tr>
              <w:trPr>
                <w:cantSplit/>
                <w:trHeight w:val="790" w:hRule="atLeast"/>
              </w:trPr>
              <w:tc>
                <w:tcPr>
                  <w:tcW w:type="dxa" w:w="716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£0</w:t>
                  </w:r>
                </w:p>
              </w:tc>
            </w:tr>
            <w:tr>
              <w:trPr>
                <w:cantSplit/>
                <w:trHeight w:val="870" w:hRule="atLeast"/>
              </w:trPr>
              <w:tc>
                <w:tcPr>
                  <w:tcW w:type="dxa" w:w="716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£208,128, Yorkshire and The Humber = £62,388)</w:t>
                  </w:r>
                </w:p>
              </w:tc>
            </w:tr>
          </w:tbl>
          <w:p/>
        </w:tc>
      </w:tr>
      <w:tr>
        <w:trPr>
          <w:cantSplit/>
        </w:trPr>
        <w:tc>
          <w:tcPr>
            <w:gridSpan w:val="2"/>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360Giving (Mar-2025 to Feb-2026)</w:t>
            </w:r>
          </w:p>
        </w:tc>
      </w:tr>
    </w:tbl>
    <w:p>
      <w:pPr>
        <w:spacing w:line="0.5" w:after="400"/>
      </w:pPr>
    </w:p>
    <w:p>
      <w:pPr>
        <w:sectPr>
          <w:footerReference w:type="default" r:id="rId16"/>
          <w:pgSz w:w="16838" w:h="11906" w:orient="landscape"/>
          <w:pgMar w:top="1270" w:right="1270" w:bottom="1270" w:left="1270" w:header="708" w:footer="708" w:gutter="0"/>
          <w:pgNumType/>
          <w:docGrid w:linePitch="360"/>
        </w:sectPr>
      </w:pPr>
    </w:p>
    <w:p>
      <w:pPr>
        <w:pStyle w:val="Heading1"/>
      </w:pPr>
      <w:bookmarkStart w:name="theme_section_8" w:id="1"/>
      <w:r>
        <w:t xml:space="preserve">Access and Transport</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Car Ownership</w:t>
      </w:r>
      <w:r>
        <w:t xml:space="preserve"/>
      </w:r>
      <w:hyperlink w:history="1" r:id="rIdi5n-8b1n4rpjuhrolf7py">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table below shows the number and proportion of households according to their ownership of a car or van. This is based on responses to the car ownership question in the 2021 Census which asks information on the number of cars or vans owned, or are available for use, by one or more members of a household. This includes company cars and vans available for private use and is based on details for private households only. Cars or vans used by residents of communal establishments are not counted.</w:t>
      </w:r>
      <w:hyperlink w:history="1" r:id="rIdvtw-id6rcnjxv7wky_w7u">
        <w:r>
          <w:rPr>
            <w:rStyle w:val="Hyperlink"/>
          </w:rPr>
          <w:t xml:space="preserve"/>
        </w:r>
      </w:hyperlink>
      <w:r>
        <w:t xml:space="preserve"/>
      </w:r>
    </w:p>
    <w:p>
      <w:pPr>
        <w:pStyle w:val="bodyText"/>
        <w:spacing w:before="200" w:after="200"/>
      </w:pPr>
      <w:r>
        <w:t xml:space="preserve">In Hipperholme and Lightcliffe, 14.52% of households have no access to a car or van. This is less than the proportion without access to a car or van in Calderdale (24.51%) and less than the proportion without access to a car or van in Yorkshire and The Humber (24.24%).</w:t>
      </w:r>
      <w:hyperlink w:history="1" r:id="rIdqi-dowcugvhu2tgo6yaux">
        <w:r>
          <w:rPr>
            <w:rStyle w:val="Hyperlink"/>
          </w:rPr>
          <w:t xml:space="preserve"/>
        </w:r>
      </w:hyperlink>
      <w:r>
        <w:t xml:space="preserve"/>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1790"/>
        <w:gridCol w:w="1790"/>
        <w:gridCol w:w="1790"/>
        <w:gridCol w:w="1790"/>
        <w:gridCol w:w="1790"/>
        <w:gridCol w:w="1790"/>
      </w:tblGrid>
      <w:tr>
        <w:trPr>
          <w:tblHeader/>
          <w:trHeight w:val="600" w:hRule="atLeast"/>
        </w:trPr>
        <w:tc>
          <w:tcPr>
            <w:tcW w:type="pct" w:w="100%"/>
            <w:gridSpan w:val="7"/>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Car or Van Ownership</w:t>
            </w:r>
          </w:p>
        </w:tc>
      </w:tr>
      <w:tr>
        <w:trPr>
          <w:tblHeader/>
        </w:trPr>
        <w:tc>
          <w:tcPr>
            <w:tcW w:type="pct" w:w="25%"/>
            <w:gridSpan w:val="1"/>
            <w:shd w:fill="3edbcf" w:color="3edbcf" w:val="solid"/>
            <w:vAlign w:val="center"/>
          </w:tcPr>
          <w:p>
            <w:pPr>
              <w:pStyle w:val="tableHeader"/>
              <w:jc w:val="center"/>
            </w:pPr>
            <w:r>
              <w:t xml:space="preserve">Indicator</w:t>
            </w:r>
          </w:p>
        </w:tc>
        <w:tc>
          <w:tcPr>
            <w:tcW w:type="pct" w:w="25%"/>
            <w:gridSpan w:val="2"/>
            <w:shd w:fill="3edbcf" w:color="3edbcf" w:val="solid"/>
            <w:vAlign w:val="center"/>
          </w:tcPr>
          <w:p>
            <w:pPr>
              <w:pStyle w:val="tableHeader"/>
              <w:jc w:val="center"/>
            </w:pPr>
            <w:r>
              <w:t xml:space="preserve">Hipperholme and Lightcliffe</w:t>
            </w:r>
          </w:p>
        </w:tc>
        <w:tc>
          <w:tcPr>
            <w:tcW w:type="pct" w:w="25%"/>
            <w:gridSpan w:val="2"/>
            <w:shd w:fill="3edbcf" w:color="3edbcf" w:val="solid"/>
            <w:vAlign w:val="center"/>
          </w:tcPr>
          <w:p>
            <w:pPr>
              <w:pStyle w:val="tableHeader"/>
              <w:jc w:val="center"/>
            </w:pPr>
            <w:r>
              <w:t xml:space="preserve">Calderdale</w:t>
            </w:r>
          </w:p>
        </w:tc>
        <w:tc>
          <w:tcPr>
            <w:tcW w:type="pct" w:w="25%"/>
            <w:gridSpan w:val="2"/>
            <w:shd w:fill="3edbcf" w:color="3edbcf" w:val="solid"/>
            <w:vAlign w:val="center"/>
          </w:tcPr>
          <w:p>
            <w:pPr>
              <w:pStyle w:val="tableHeader"/>
              <w:jc w:val="center"/>
            </w:pPr>
            <w:r>
              <w:t xml:space="preserve">Yorkshire and The Humber</w:t>
            </w:r>
          </w:p>
        </w:tc>
      </w:tr>
      <w:tr>
        <w:trPr>
          <w:tblHeader/>
        </w:trPr>
        <w:tc>
          <w:tcPr>
            <w:tcW w:type="pct" w:w="25%"/>
            <w:vAlign w:val="center"/>
          </w:tcPr>
          <w:p>
            <w:pPr>
              <w:pStyle w:val="tableHeader"/>
              <w:jc w:val="center"/>
            </w:pP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r>
      <w:tr>
        <w:tc>
          <w:tcPr>
            <w:tcW w:type="pct" w:w="25%"/>
            <w:tcMar>
              <w:top w:type="dxa" w:w="0"/>
              <w:left w:type="dxa" w:w="100"/>
              <w:bottom w:type="dxa" w:w="0"/>
              <w:right w:type="dxa" w:w="0"/>
            </w:tcMar>
            <w:vAlign w:val="center"/>
          </w:tcPr>
          <w:p>
            <w:pPr>
              <w:pStyle w:val="tableData"/>
              <w:keepNext w:val="false"/>
              <w:jc w:val="left"/>
            </w:pPr>
            <w:r>
              <w:t xml:space="preserve">No Car</w:t>
            </w:r>
          </w:p>
        </w:tc>
        <w:tc>
          <w:tcPr>
            <w:tcW w:type="pct" w:w="12.5%"/>
            <w:vAlign w:val="center"/>
          </w:tcPr>
          <w:p>
            <w:pPr>
              <w:pStyle w:val="tableData"/>
              <w:keepNext w:val="false"/>
              <w:jc w:val="center"/>
            </w:pPr>
            <w:r>
              <w:t xml:space="preserve">738</w:t>
            </w:r>
          </w:p>
        </w:tc>
        <w:tc>
          <w:tcPr>
            <w:tcW w:type="pct" w:w="12.5%"/>
            <w:vAlign w:val="center"/>
          </w:tcPr>
          <w:p>
            <w:pPr>
              <w:pStyle w:val="tableData"/>
              <w:keepNext w:val="false"/>
              <w:jc w:val="center"/>
            </w:pPr>
            <w:r>
              <w:t xml:space="preserve">14.52%</w:t>
            </w:r>
          </w:p>
        </w:tc>
        <w:tc>
          <w:tcPr>
            <w:tcW w:type="pct" w:w="12.5%"/>
            <w:vAlign w:val="center"/>
          </w:tcPr>
          <w:p>
            <w:pPr>
              <w:pStyle w:val="tableData"/>
              <w:keepNext w:val="false"/>
              <w:jc w:val="center"/>
            </w:pPr>
            <w:r>
              <w:t xml:space="preserve">22,177</w:t>
            </w:r>
          </w:p>
        </w:tc>
        <w:tc>
          <w:tcPr>
            <w:tcW w:type="pct" w:w="12.5%"/>
            <w:vAlign w:val="center"/>
          </w:tcPr>
          <w:p>
            <w:pPr>
              <w:pStyle w:val="tableData"/>
              <w:keepNext w:val="false"/>
              <w:jc w:val="center"/>
            </w:pPr>
            <w:r>
              <w:t xml:space="preserve">24.51%</w:t>
            </w:r>
          </w:p>
        </w:tc>
        <w:tc>
          <w:tcPr>
            <w:tcW w:type="pct" w:w="12.5%"/>
            <w:vAlign w:val="center"/>
          </w:tcPr>
          <w:p>
            <w:pPr>
              <w:pStyle w:val="tableData"/>
              <w:keepNext w:val="false"/>
              <w:jc w:val="center"/>
            </w:pPr>
            <w:r>
              <w:t xml:space="preserve">564,965</w:t>
            </w:r>
          </w:p>
        </w:tc>
        <w:tc>
          <w:tcPr>
            <w:tcW w:type="pct" w:w="12.5%"/>
            <w:vAlign w:val="center"/>
          </w:tcPr>
          <w:p>
            <w:pPr>
              <w:pStyle w:val="tableData"/>
              <w:keepNext w:val="false"/>
              <w:jc w:val="center"/>
            </w:pPr>
            <w:r>
              <w:t xml:space="preserve">24.24%</w:t>
            </w:r>
          </w:p>
        </w:tc>
      </w:tr>
      <w:tr>
        <w:tc>
          <w:tcPr>
            <w:tcW w:type="pct" w:w="25%"/>
            <w:tcMar>
              <w:top w:type="dxa" w:w="0"/>
              <w:left w:type="dxa" w:w="100"/>
              <w:bottom w:type="dxa" w:w="0"/>
              <w:right w:type="dxa" w:w="0"/>
            </w:tcMar>
            <w:vAlign w:val="center"/>
          </w:tcPr>
          <w:p>
            <w:pPr>
              <w:pStyle w:val="tableData"/>
              <w:keepNext w:val="false"/>
              <w:jc w:val="left"/>
            </w:pPr>
            <w:r>
              <w:t xml:space="preserve">1 Car</w:t>
            </w:r>
          </w:p>
        </w:tc>
        <w:tc>
          <w:tcPr>
            <w:tcW w:type="pct" w:w="12.5%"/>
            <w:vAlign w:val="center"/>
          </w:tcPr>
          <w:p>
            <w:pPr>
              <w:pStyle w:val="tableData"/>
              <w:keepNext w:val="false"/>
              <w:jc w:val="center"/>
            </w:pPr>
            <w:r>
              <w:t xml:space="preserve">2,162</w:t>
            </w:r>
          </w:p>
        </w:tc>
        <w:tc>
          <w:tcPr>
            <w:tcW w:type="pct" w:w="12.5%"/>
            <w:vAlign w:val="center"/>
          </w:tcPr>
          <w:p>
            <w:pPr>
              <w:pStyle w:val="tableData"/>
              <w:keepNext w:val="false"/>
              <w:jc w:val="center"/>
            </w:pPr>
            <w:r>
              <w:t xml:space="preserve">42.53%</w:t>
            </w:r>
          </w:p>
        </w:tc>
        <w:tc>
          <w:tcPr>
            <w:tcW w:type="pct" w:w="12.5%"/>
            <w:vAlign w:val="center"/>
          </w:tcPr>
          <w:p>
            <w:pPr>
              <w:pStyle w:val="tableData"/>
              <w:keepNext w:val="false"/>
              <w:jc w:val="center"/>
            </w:pPr>
            <w:r>
              <w:t xml:space="preserve">38,826</w:t>
            </w:r>
          </w:p>
        </w:tc>
        <w:tc>
          <w:tcPr>
            <w:tcW w:type="pct" w:w="12.5%"/>
            <w:vAlign w:val="center"/>
          </w:tcPr>
          <w:p>
            <w:pPr>
              <w:pStyle w:val="tableData"/>
              <w:keepNext w:val="false"/>
              <w:jc w:val="center"/>
            </w:pPr>
            <w:r>
              <w:t xml:space="preserve">42.91%</w:t>
            </w:r>
          </w:p>
        </w:tc>
        <w:tc>
          <w:tcPr>
            <w:tcW w:type="pct" w:w="12.5%"/>
            <w:vAlign w:val="center"/>
          </w:tcPr>
          <w:p>
            <w:pPr>
              <w:pStyle w:val="tableData"/>
              <w:keepNext w:val="false"/>
              <w:jc w:val="center"/>
            </w:pPr>
            <w:r>
              <w:t xml:space="preserve">980,137</w:t>
            </w:r>
          </w:p>
        </w:tc>
        <w:tc>
          <w:tcPr>
            <w:tcW w:type="pct" w:w="12.5%"/>
            <w:vAlign w:val="center"/>
          </w:tcPr>
          <w:p>
            <w:pPr>
              <w:pStyle w:val="tableData"/>
              <w:keepNext w:val="false"/>
              <w:jc w:val="center"/>
            </w:pPr>
            <w:r>
              <w:t xml:space="preserve">42.05%</w:t>
            </w:r>
          </w:p>
        </w:tc>
      </w:tr>
      <w:tr>
        <w:tc>
          <w:tcPr>
            <w:tcW w:type="pct" w:w="25%"/>
            <w:tcMar>
              <w:top w:type="dxa" w:w="0"/>
              <w:left w:type="dxa" w:w="100"/>
              <w:bottom w:type="dxa" w:w="0"/>
              <w:right w:type="dxa" w:w="0"/>
            </w:tcMar>
            <w:vAlign w:val="center"/>
          </w:tcPr>
          <w:p>
            <w:pPr>
              <w:pStyle w:val="tableData"/>
              <w:keepNext w:val="false"/>
              <w:jc w:val="left"/>
            </w:pPr>
            <w:r>
              <w:t xml:space="preserve">2 Cars</w:t>
            </w:r>
          </w:p>
        </w:tc>
        <w:tc>
          <w:tcPr>
            <w:tcW w:type="pct" w:w="12.5%"/>
            <w:vAlign w:val="center"/>
          </w:tcPr>
          <w:p>
            <w:pPr>
              <w:pStyle w:val="tableData"/>
              <w:keepNext w:val="false"/>
              <w:jc w:val="center"/>
            </w:pPr>
            <w:r>
              <w:t xml:space="preserve">1,653</w:t>
            </w:r>
          </w:p>
        </w:tc>
        <w:tc>
          <w:tcPr>
            <w:tcW w:type="pct" w:w="12.5%"/>
            <w:vAlign w:val="center"/>
          </w:tcPr>
          <w:p>
            <w:pPr>
              <w:pStyle w:val="tableData"/>
              <w:keepNext w:val="false"/>
              <w:jc w:val="center"/>
            </w:pPr>
            <w:r>
              <w:t xml:space="preserve">32.51%</w:t>
            </w:r>
          </w:p>
        </w:tc>
        <w:tc>
          <w:tcPr>
            <w:tcW w:type="pct" w:w="12.5%"/>
            <w:vAlign w:val="center"/>
          </w:tcPr>
          <w:p>
            <w:pPr>
              <w:pStyle w:val="tableData"/>
              <w:keepNext w:val="false"/>
              <w:jc w:val="center"/>
            </w:pPr>
            <w:r>
              <w:t xml:space="preserve">22,646</w:t>
            </w:r>
          </w:p>
        </w:tc>
        <w:tc>
          <w:tcPr>
            <w:tcW w:type="pct" w:w="12.5%"/>
            <w:vAlign w:val="center"/>
          </w:tcPr>
          <w:p>
            <w:pPr>
              <w:pStyle w:val="tableData"/>
              <w:keepNext w:val="false"/>
              <w:jc w:val="center"/>
            </w:pPr>
            <w:r>
              <w:t xml:space="preserve">25.03%</w:t>
            </w:r>
          </w:p>
        </w:tc>
        <w:tc>
          <w:tcPr>
            <w:tcW w:type="pct" w:w="12.5%"/>
            <w:vAlign w:val="center"/>
          </w:tcPr>
          <w:p>
            <w:pPr>
              <w:pStyle w:val="tableData"/>
              <w:keepNext w:val="false"/>
              <w:jc w:val="center"/>
            </w:pPr>
            <w:r>
              <w:t xml:space="preserve">600,010</w:t>
            </w:r>
          </w:p>
        </w:tc>
        <w:tc>
          <w:tcPr>
            <w:tcW w:type="pct" w:w="12.5%"/>
            <w:vAlign w:val="center"/>
          </w:tcPr>
          <w:p>
            <w:pPr>
              <w:pStyle w:val="tableData"/>
              <w:keepNext w:val="false"/>
              <w:jc w:val="center"/>
            </w:pPr>
            <w:r>
              <w:t xml:space="preserve">25.74%</w:t>
            </w:r>
          </w:p>
        </w:tc>
      </w:tr>
      <w:tr>
        <w:tc>
          <w:tcPr>
            <w:tcW w:type="pct" w:w="25%"/>
            <w:tcMar>
              <w:top w:type="dxa" w:w="0"/>
              <w:left w:type="dxa" w:w="100"/>
              <w:bottom w:type="dxa" w:w="0"/>
              <w:right w:type="dxa" w:w="0"/>
            </w:tcMar>
            <w:vAlign w:val="center"/>
          </w:tcPr>
          <w:p>
            <w:pPr>
              <w:pStyle w:val="tableData"/>
              <w:keepNext/>
              <w:jc w:val="left"/>
            </w:pPr>
            <w:r>
              <w:t xml:space="preserve">3+ Cars</w:t>
            </w:r>
          </w:p>
        </w:tc>
        <w:tc>
          <w:tcPr>
            <w:tcW w:type="pct" w:w="12.5%"/>
            <w:vAlign w:val="center"/>
          </w:tcPr>
          <w:p>
            <w:pPr>
              <w:pStyle w:val="tableData"/>
              <w:keepNext/>
              <w:jc w:val="center"/>
            </w:pPr>
            <w:r>
              <w:t xml:space="preserve">531</w:t>
            </w:r>
          </w:p>
        </w:tc>
        <w:tc>
          <w:tcPr>
            <w:tcW w:type="pct" w:w="12.5%"/>
            <w:vAlign w:val="center"/>
          </w:tcPr>
          <w:p>
            <w:pPr>
              <w:pStyle w:val="tableData"/>
              <w:keepNext/>
              <w:jc w:val="center"/>
            </w:pPr>
            <w:r>
              <w:t xml:space="preserve">10.44%</w:t>
            </w:r>
          </w:p>
        </w:tc>
        <w:tc>
          <w:tcPr>
            <w:tcW w:type="pct" w:w="12.5%"/>
            <w:vAlign w:val="center"/>
          </w:tcPr>
          <w:p>
            <w:pPr>
              <w:pStyle w:val="tableData"/>
              <w:keepNext/>
              <w:jc w:val="center"/>
            </w:pPr>
            <w:r>
              <w:t xml:space="preserve">6,827</w:t>
            </w:r>
          </w:p>
        </w:tc>
        <w:tc>
          <w:tcPr>
            <w:tcW w:type="pct" w:w="12.5%"/>
            <w:vAlign w:val="center"/>
          </w:tcPr>
          <w:p>
            <w:pPr>
              <w:pStyle w:val="tableData"/>
              <w:keepNext/>
              <w:jc w:val="center"/>
            </w:pPr>
            <w:r>
              <w:t xml:space="preserve">7.55%</w:t>
            </w:r>
          </w:p>
        </w:tc>
        <w:tc>
          <w:tcPr>
            <w:tcW w:type="pct" w:w="12.5%"/>
            <w:vAlign w:val="center"/>
          </w:tcPr>
          <w:p>
            <w:pPr>
              <w:pStyle w:val="tableData"/>
              <w:keepNext/>
              <w:jc w:val="center"/>
            </w:pPr>
            <w:r>
              <w:t xml:space="preserve">185,548</w:t>
            </w:r>
          </w:p>
        </w:tc>
        <w:tc>
          <w:tcPr>
            <w:tcW w:type="pct" w:w="12.5%"/>
            <w:vAlign w:val="center"/>
          </w:tcPr>
          <w:p>
            <w:pPr>
              <w:pStyle w:val="tableData"/>
              <w:keepNext/>
              <w:jc w:val="center"/>
            </w:pPr>
            <w:r>
              <w:t xml:space="preserve">7.96%</w:t>
            </w:r>
          </w:p>
        </w:tc>
      </w:tr>
      <w:tr>
        <w:trPr>
          <w:cantSplit/>
        </w:trPr>
        <w:tc>
          <w:tcPr>
            <w:gridSpan w:val="7"/>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Census 2021</w:t>
            </w:r>
          </w:p>
        </w:tc>
      </w:tr>
    </w:tbl>
    <w:p>
      <w:pPr>
        <w:spacing w:line="0.5" w:after="400"/>
      </w:pPr>
    </w:p>
    <w:p>
      <w:pPr>
        <w:pStyle w:val="bodyText"/>
        <w:spacing w:before="200" w:after="200"/>
      </w:pPr>
      <w:r>
        <w:t xml:space="preserve">The bar chart below shows the numbers of households with no car or van in the 2021 Census alongside the proportions from the previous Census to identify changes over time.</w:t>
      </w:r>
      <w:hyperlink w:history="1" r:id="rIdikb3trlvujuti2mvm7sdd">
        <w:r>
          <w:rPr>
            <w:rStyle w:val="Hyperlink"/>
          </w:rPr>
          <w:t xml:space="preserve"/>
        </w:r>
      </w:hyperlink>
      <w:r>
        <w:t xml:space="preserve"/>
      </w:r>
    </w:p>
    <w:p>
      <w:pPr>
        <w:pStyle w:val="bodyText"/>
        <w:spacing w:before="200" w:after="200"/>
      </w:pPr>
      <w:r>
        <w:t xml:space="preserve">In 2011, 16.83% of households in Hipperholme and Lightcliffe had no access to a car or van. This is greater than the proportion without access to a car or van in 2021 (14.52%).</w:t>
      </w:r>
      <w:hyperlink w:history="1" r:id="rIdekjmkkuzpv1pklyqryptn">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Households With No Car or Van (2011 vs. 2021)</w:t>
            </w:r>
          </w:p>
        </w:tc>
      </w:tr>
      <w:tr>
        <w:trPr>
          <w:tblHeader/>
        </w:trPr>
        <w:tc>
          <w:tcPr>
            <w:vAlign w:val="center"/>
          </w:tcPr>
          <w:p>
            <w:r>
              <w:drawing>
                <wp:inline distT="0" distB="0" distL="0" distR="0">
                  <wp:extent cx="9096375" cy="4381500"/>
                  <wp:effectExtent t="0" r="0" b="0" l="0"/>
                  <wp:docPr id="1" name="Chart for Households With No Car or Van (2011 vs. 2021)" descr="This chart shows Households With No Car or Van (2011 vs. 2021). A textual description is provided elsewhere in this report." title="Chart Households With No Car or Van (2011 vs.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UK Census</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Connectivity</w:t>
      </w:r>
      <w:r>
        <w:t xml:space="preserve"/>
      </w:r>
      <w:hyperlink w:history="1" r:id="rIdfgrpony_njjqq-uidsj2f">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visualisations below show the Overall Department for Transport (DfT) Connectivity Score for all destination types. Connectivity scores represent ease of access to services and range from 0 to 100, where </w:t>
      </w:r>
      <w:r>
        <w:rPr>
          <w:b/>
          <w:bCs/>
        </w:rPr>
        <w:t xml:space="preserve">a higher score represents higher levels of connectivity</w:t>
      </w:r>
      <w:r>
        <w:t xml:space="preserve">. It is calculated using journey planning algorithms considering actual transport networks and service timetables, the total value of all destinations within reach, and the propensity to travel to each destination type by each transport mode at different times of day.</w:t>
      </w:r>
      <w:hyperlink w:history="1" r:id="rIdxaotqyxav6u-luaw-ua6r">
        <w:r>
          <w:rPr>
            <w:rStyle w:val="Hyperlink"/>
          </w:rPr>
          <w:t xml:space="preserve"/>
        </w:r>
      </w:hyperlink>
      <w:r>
        <w:t xml:space="preserve"/>
      </w:r>
    </w:p>
    <w:p>
      <w:pPr>
        <w:pStyle w:val="bodyText"/>
        <w:spacing w:before="200" w:after="200"/>
      </w:pPr>
      <w:r>
        <w:t xml:space="preserve"/>
      </w:r>
      <w:r>
        <w:rPr>
          <w:i/>
          <w:iCs/>
        </w:rPr>
        <w:t xml:space="preserve"/>
      </w:r>
      <w:r>
        <w:t xml:space="preserve"/>
      </w:r>
      <w:r>
        <w:rPr>
          <w:i/>
          <w:iCs/>
        </w:rPr>
        <w:t xml:space="preserve">Note: Connectivity Trips that start in England and Wales and end in Scotland are included, meaning that destinations in Scotland can contribute to connectivity in locations outside of Scotland. A cut-off point has been set for a maximum travel time of 60 minutes to limit the number of calculations.</w:t>
      </w:r>
      <w:r>
        <w:t xml:space="preserve"/>
      </w:r>
      <w:hyperlink w:history="1" r:id="rIdzrbjvwr-xailryih6uc6_">
        <w:r>
          <w:rPr>
            <w:rStyle w:val="Hyperlink"/>
          </w:rPr>
          <w:t xml:space="preserve"/>
        </w:r>
      </w:hyperlink>
      <w:r>
        <w:t xml:space="preserve"/>
      </w:r>
    </w:p>
    <w:p>
      <w:pPr>
        <w:pStyle w:val="bodyText"/>
        <w:spacing w:before="200" w:after="200"/>
      </w:pPr>
      <w:r>
        <w:t xml:space="preserve">Hipperholme and Lightcliffe has an overall Connectivity Score of 63.84. This means that Hipperholme and Lightcliffe has higher levels of connectivity than Calderdale (62.45) and higher levels of connectivity than Yorkshire and The Humber (62.73).</w:t>
      </w:r>
      <w:hyperlink w:history="1" r:id="rIdrjey_y-8bz0vtmpzrqjpy">
        <w:r>
          <w:rPr>
            <w:rStyle w:val="Hyperlink"/>
          </w:rPr>
          <w:t xml:space="preserve"/>
        </w:r>
      </w:hyperlink>
      <w:r>
        <w:t xml:space="preserve"/>
      </w:r>
    </w:p>
    <w:p>
      <w:pPr>
        <w:spacing w:line="0.5" w:after="4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cantSplit/>
        </w:trPr>
        <w:tc>
          <w:tcPr>
            <w:tcBorders>
              <w:top w:val="none" w:color="000000" w:sz="0"/>
              <w:left w:val="none" w:color="000000" w:sz="0"/>
              <w:bottom w:val="none" w:color="000000" w:sz="0"/>
              <w:right w:val="none" w:color="000000" w:sz="0"/>
            </w:tcBorders>
            <w:tcMar>
              <w:top w:type="dxa" w:w="0"/>
              <w:left w:type="dxa" w:w="0"/>
              <w:bottom w:type="dxa" w:w="0"/>
              <w:right w:type="dxa" w:w="0"/>
            </w:tcMar>
          </w:tcPr>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1432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Overall Connectivity Score</w:t>
                  </w:r>
                </w:p>
              </w:tc>
            </w:tr>
            <w:tr>
              <w:trPr>
                <w:cantSplit/>
                <w:trHeight w:val="790" w:hRule="atLeast"/>
              </w:trPr>
              <w:tc>
                <w:tcPr>
                  <w:tcW w:type="dxa" w:w="1432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63.84</w:t>
                  </w:r>
                </w:p>
              </w:tc>
            </w:tr>
            <w:tr>
              <w:trPr>
                <w:cantSplit/>
                <w:trHeight w:val="870" w:hRule="atLeast"/>
              </w:trPr>
              <w:tc>
                <w:tcPr>
                  <w:tcW w:type="dxa" w:w="1432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62.45, Yorkshire and The Humber = 62.73)</w:t>
                  </w:r>
                </w:p>
              </w:tc>
            </w:tr>
          </w:tbl>
          <w:p/>
        </w:tc>
      </w:tr>
      <w:tr>
        <w:trPr>
          <w:cantSplit/>
        </w:trPr>
        <w:tc>
          <w:tcPr>
            <w:gridSpan w:val="1"/>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Department for Transport (DfT; 2025)</w:t>
            </w:r>
          </w:p>
        </w:tc>
      </w:tr>
    </w:tbl>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Overall Connectivity by Destination Type</w:t>
            </w:r>
          </w:p>
        </w:tc>
      </w:tr>
      <w:tr>
        <w:trPr>
          <w:tblHeader/>
        </w:trPr>
        <w:tc>
          <w:tcPr>
            <w:vAlign w:val="center"/>
          </w:tcPr>
          <w:p>
            <w:r>
              <w:drawing>
                <wp:inline distT="0" distB="0" distL="0" distR="0">
                  <wp:extent cx="9096375" cy="4381500"/>
                  <wp:effectExtent t="0" r="0" b="0" l="0"/>
                  <wp:docPr id="1" name="Chart for Overall Connectivity by Destination Type" descr="This chart shows Overall Connectivity by Destination Type. A textual description is provided elsewhere in this report." title="Chart Overall Connectivity by Destination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Department for Transport (DfT; 2025)</w:t>
            </w:r>
          </w:p>
        </w:tc>
      </w:tr>
    </w:tbl>
    <w:p>
      <w:pPr>
        <w:sectPr>
          <w:footerReference w:type="default" r:id="rId17"/>
          <w:pgSz w:w="16838" w:h="11906" w:orient="landscape"/>
          <w:pgMar w:top="1270" w:right="1270" w:bottom="1270" w:left="1270" w:header="708" w:footer="708" w:gutter="0"/>
          <w:pgNumType/>
          <w:docGrid w:linePitch="360"/>
        </w:sectPr>
      </w:pPr>
    </w:p>
    <w:p>
      <w:pPr>
        <w:pStyle w:val="Heading1"/>
        <w:spacing w:before="0" w:after="100"/>
      </w:pPr>
      <w:bookmarkStart w:name="appendix" w:id="1"/>
      <w:r>
        <w:t xml:space="preserve">Appendix: Data sources</w:t>
      </w:r>
      <w:bookmarkEnd w:id="1"/>
    </w:p>
    <w:p>
      <w:pPr>
        <w:spacing w:line="0.5" w:after="5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864"/>
        <w:gridCol w:w="7160"/>
        <w:gridCol w:w="4773"/>
      </w:tblGrid>
      <w:tr>
        <w:trPr>
          <w:tblHeader/>
        </w:trPr>
        <w:tc>
          <w:tcPr>
            <w:shd w:fill="3edbcf" w:color="3edbcf" w:val="solid"/>
            <w:vAlign w:val="center"/>
          </w:tcPr>
          <w:p>
            <w:pPr>
              <w:pStyle w:val="tableHeader"/>
              <w:jc w:val="center"/>
            </w:pPr>
            <w:r>
              <w:t xml:space="preserve">Theme</w:t>
            </w:r>
          </w:p>
        </w:tc>
        <w:tc>
          <w:tcPr>
            <w:shd w:fill="3edbcf" w:color="3edbcf" w:val="solid"/>
            <w:vAlign w:val="center"/>
          </w:tcPr>
          <w:p>
            <w:pPr>
              <w:pStyle w:val="tableHeader"/>
              <w:jc w:val="center"/>
            </w:pPr>
            <w:r>
              <w:t xml:space="preserve">Data</w:t>
            </w:r>
          </w:p>
        </w:tc>
        <w:tc>
          <w:tcPr>
            <w:shd w:fill="3edbcf" w:color="3edbcf" w:val="solid"/>
            <w:vAlign w:val="center"/>
          </w:tcPr>
          <w:p>
            <w:pPr>
              <w:pStyle w:val="tableHeader"/>
              <w:jc w:val="center"/>
            </w:pPr>
            <w:r>
              <w:t xml:space="preserve">Data source / time period</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Total population estimate</w:t>
            </w:r>
          </w:p>
        </w:tc>
        <w:tc>
          <w:tcPr>
            <w:tcMar>
              <w:top w:type="dxa" w:w="100"/>
              <w:left w:type="dxa" w:w="100"/>
              <w:bottom w:type="dxa" w:w="100"/>
              <w:right w:type="dxa" w:w="100"/>
            </w:tcMar>
            <w:vAlign w:val="center"/>
          </w:tcPr>
          <w:p>
            <w:pPr>
              <w:pStyle w:val="tableData"/>
              <w:shd/>
              <w:spacing w:before="200" w:after="200"/>
              <w:jc w:val="left"/>
            </w:pPr>
            <w:r>
              <w:t xml:space="preserve">Office for National Statistics (ONS) (2024)</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Male population</w:t>
            </w:r>
          </w:p>
        </w:tc>
        <w:tc>
          <w:tcPr>
            <w:tcMar>
              <w:top w:type="dxa" w:w="100"/>
              <w:left w:type="dxa" w:w="100"/>
              <w:bottom w:type="dxa" w:w="100"/>
              <w:right w:type="dxa" w:w="100"/>
            </w:tcMar>
            <w:vAlign w:val="center"/>
          </w:tcPr>
          <w:p>
            <w:pPr>
              <w:pStyle w:val="tableData"/>
              <w:shd/>
              <w:spacing w:before="200" w:after="200"/>
              <w:jc w:val="left"/>
            </w:pPr>
            <w:r>
              <w:t xml:space="preserve">Office for National Statistics (ONS) (2024)</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Female population</w:t>
            </w:r>
          </w:p>
        </w:tc>
        <w:tc>
          <w:tcPr>
            <w:tcMar>
              <w:top w:type="dxa" w:w="100"/>
              <w:left w:type="dxa" w:w="100"/>
              <w:bottom w:type="dxa" w:w="100"/>
              <w:right w:type="dxa" w:w="100"/>
            </w:tcMar>
            <w:vAlign w:val="center"/>
          </w:tcPr>
          <w:p>
            <w:pPr>
              <w:pStyle w:val="tableData"/>
              <w:shd/>
              <w:spacing w:before="200" w:after="200"/>
              <w:jc w:val="left"/>
            </w:pPr>
            <w:r>
              <w:t xml:space="preserve">Office for National Statistics (ONS) (2024)</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Population aged 0 to 15</w:t>
            </w:r>
          </w:p>
        </w:tc>
        <w:tc>
          <w:tcPr>
            <w:tcMar>
              <w:top w:type="dxa" w:w="100"/>
              <w:left w:type="dxa" w:w="100"/>
              <w:bottom w:type="dxa" w:w="100"/>
              <w:right w:type="dxa" w:w="100"/>
            </w:tcMar>
            <w:vAlign w:val="center"/>
          </w:tcPr>
          <w:p>
            <w:pPr>
              <w:pStyle w:val="tableData"/>
              <w:shd/>
              <w:spacing w:before="200" w:after="200"/>
              <w:jc w:val="left"/>
            </w:pPr>
            <w:r>
              <w:t xml:space="preserve">Office for National Statistics (ONS) (2024)</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Population aged 16 to 64</w:t>
            </w:r>
          </w:p>
        </w:tc>
        <w:tc>
          <w:tcPr>
            <w:tcMar>
              <w:top w:type="dxa" w:w="100"/>
              <w:left w:type="dxa" w:w="100"/>
              <w:bottom w:type="dxa" w:w="100"/>
              <w:right w:type="dxa" w:w="100"/>
            </w:tcMar>
            <w:vAlign w:val="center"/>
          </w:tcPr>
          <w:p>
            <w:pPr>
              <w:pStyle w:val="tableData"/>
              <w:shd/>
              <w:spacing w:before="200" w:after="200"/>
              <w:jc w:val="left"/>
            </w:pPr>
            <w:r>
              <w:t xml:space="preserve">Office for National Statistics (ONS) (2024)</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Population aged 65 and over</w:t>
            </w:r>
          </w:p>
        </w:tc>
        <w:tc>
          <w:tcPr>
            <w:tcMar>
              <w:top w:type="dxa" w:w="100"/>
              <w:left w:type="dxa" w:w="100"/>
              <w:bottom w:type="dxa" w:w="100"/>
              <w:right w:type="dxa" w:w="100"/>
            </w:tcMar>
            <w:vAlign w:val="center"/>
          </w:tcPr>
          <w:p>
            <w:pPr>
              <w:pStyle w:val="tableData"/>
              <w:shd/>
              <w:spacing w:before="200" w:after="200"/>
              <w:jc w:val="left"/>
            </w:pPr>
            <w:r>
              <w:t xml:space="preserve">Office for National Statistics (ONS) (2024)</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Score</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Rank</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1</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2</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3</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4</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5</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6</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7</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8</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9</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10</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Unemployment</w:t>
            </w:r>
          </w:p>
        </w:tc>
        <w:tc>
          <w:tcPr>
            <w:tcMar>
              <w:top w:type="dxa" w:w="0"/>
              <w:left w:type="dxa" w:w="100"/>
              <w:bottom w:type="dxa" w:w="0"/>
              <w:right w:type="dxa" w:w="0"/>
            </w:tcMar>
            <w:vAlign w:val="center"/>
          </w:tcPr>
          <w:p>
            <w:pPr>
              <w:pStyle w:val="tableData"/>
              <w:jc w:val="left"/>
            </w:pPr>
            <w:r>
              <w:t xml:space="preserve">Unemployment benefit claimants (Jobseekers Allowance and out of work Universal Credit claimants)</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(Apr-2026)</w:t>
            </w:r>
          </w:p>
        </w:tc>
      </w:tr>
      <w:tr>
        <w:trPr>
          <w:cantSplit/>
        </w:trPr>
        <w:tc>
          <w:tcPr>
            <w:tcMar>
              <w:top w:type="dxa" w:w="0"/>
              <w:left w:type="dxa" w:w="100"/>
              <w:bottom w:type="dxa" w:w="0"/>
              <w:right w:type="dxa" w:w="0"/>
            </w:tcMar>
            <w:vAlign w:val="center"/>
          </w:tcPr>
          <w:p>
            <w:pPr>
              <w:pStyle w:val="tableData"/>
              <w:jc w:val="left"/>
            </w:pPr>
            <w:r>
              <w:t xml:space="preserve">Unemployment</w:t>
            </w:r>
          </w:p>
        </w:tc>
        <w:tc>
          <w:tcPr>
            <w:tcMar>
              <w:top w:type="dxa" w:w="0"/>
              <w:left w:type="dxa" w:w="100"/>
              <w:bottom w:type="dxa" w:w="0"/>
              <w:right w:type="dxa" w:w="0"/>
            </w:tcMar>
            <w:vAlign w:val="center"/>
          </w:tcPr>
          <w:p>
            <w:pPr>
              <w:pStyle w:val="tableData"/>
              <w:jc w:val="left"/>
            </w:pPr>
            <w:r>
              <w:t xml:space="preserve">Youth unemployment (18-24 receiving JSA or Universal Credit)</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(Apr-2026)</w:t>
            </w:r>
          </w:p>
        </w:tc>
      </w:tr>
      <w:tr>
        <w:trPr>
          <w:cantSplit/>
        </w:trPr>
        <w:tc>
          <w:tcPr>
            <w:tcMar>
              <w:top w:type="dxa" w:w="0"/>
              <w:left w:type="dxa" w:w="100"/>
              <w:bottom w:type="dxa" w:w="0"/>
              <w:right w:type="dxa" w:w="0"/>
            </w:tcMar>
            <w:vAlign w:val="center"/>
          </w:tcPr>
          <w:p>
            <w:pPr>
              <w:pStyle w:val="tableData"/>
              <w:jc w:val="left"/>
            </w:pPr>
            <w:r>
              <w:t xml:space="preserve">Unemployment</w:t>
            </w:r>
          </w:p>
        </w:tc>
        <w:tc>
          <w:tcPr>
            <w:tcMar>
              <w:top w:type="dxa" w:w="0"/>
              <w:left w:type="dxa" w:w="100"/>
              <w:bottom w:type="dxa" w:w="0"/>
              <w:right w:type="dxa" w:w="0"/>
            </w:tcMar>
            <w:vAlign w:val="center"/>
          </w:tcPr>
          <w:p>
            <w:pPr>
              <w:pStyle w:val="tableData"/>
              <w:jc w:val="left"/>
            </w:pPr>
            <w:r>
              <w:t xml:space="preserve">Older person unemployment (50+ receiving JSA or Universal Credit)</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(Apr-2026)</w:t>
            </w:r>
          </w:p>
        </w:tc>
      </w:tr>
      <w:tr>
        <w:trPr>
          <w:cantSplit/>
        </w:trPr>
        <w:tc>
          <w:tcPr>
            <w:tcMar>
              <w:top w:type="dxa" w:w="0"/>
              <w:left w:type="dxa" w:w="100"/>
              <w:bottom w:type="dxa" w:w="0"/>
              <w:right w:type="dxa" w:w="0"/>
            </w:tcMar>
            <w:vAlign w:val="center"/>
          </w:tcPr>
          <w:p>
            <w:pPr>
              <w:pStyle w:val="tableData"/>
              <w:jc w:val="left"/>
            </w:pPr>
            <w:r>
              <w:t xml:space="preserve">Unemployment</w:t>
            </w:r>
          </w:p>
        </w:tc>
        <w:tc>
          <w:tcPr>
            <w:tcMar>
              <w:top w:type="dxa" w:w="0"/>
              <w:left w:type="dxa" w:w="100"/>
              <w:bottom w:type="dxa" w:w="0"/>
              <w:right w:type="dxa" w:w="0"/>
            </w:tcMar>
            <w:vAlign w:val="center"/>
          </w:tcPr>
          <w:p>
            <w:pPr>
              <w:pStyle w:val="tableData"/>
              <w:jc w:val="left"/>
            </w:pPr>
            <w:r>
              <w:t xml:space="preserve">Unemployment benefit (JSA and Universal Credit), female</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(Apr-2026)</w:t>
            </w:r>
          </w:p>
        </w:tc>
      </w:tr>
      <w:tr>
        <w:trPr>
          <w:cantSplit/>
        </w:trPr>
        <w:tc>
          <w:tcPr>
            <w:tcMar>
              <w:top w:type="dxa" w:w="0"/>
              <w:left w:type="dxa" w:w="100"/>
              <w:bottom w:type="dxa" w:w="0"/>
              <w:right w:type="dxa" w:w="0"/>
            </w:tcMar>
            <w:vAlign w:val="center"/>
          </w:tcPr>
          <w:p>
            <w:pPr>
              <w:pStyle w:val="tableData"/>
              <w:jc w:val="left"/>
            </w:pPr>
            <w:r>
              <w:t xml:space="preserve">Unemployment</w:t>
            </w:r>
          </w:p>
        </w:tc>
        <w:tc>
          <w:tcPr>
            <w:tcMar>
              <w:top w:type="dxa" w:w="0"/>
              <w:left w:type="dxa" w:w="100"/>
              <w:bottom w:type="dxa" w:w="0"/>
              <w:right w:type="dxa" w:w="0"/>
            </w:tcMar>
            <w:vAlign w:val="center"/>
          </w:tcPr>
          <w:p>
            <w:pPr>
              <w:pStyle w:val="tableData"/>
              <w:jc w:val="left"/>
            </w:pPr>
            <w:r>
              <w:t xml:space="preserve">Unemployment benefit (JSA and Universal Credit), male</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(Apr-2026)</w:t>
            </w:r>
          </w:p>
        </w:tc>
      </w:tr>
      <w:tr>
        <w:trPr>
          <w:cantSplit/>
        </w:trPr>
        <w:tc>
          <w:tcPr>
            <w:tcMar>
              <w:top w:type="dxa" w:w="0"/>
              <w:left w:type="dxa" w:w="100"/>
              <w:bottom w:type="dxa" w:w="0"/>
              <w:right w:type="dxa" w:w="0"/>
            </w:tcMar>
            <w:vAlign w:val="center"/>
          </w:tcPr>
          <w:p>
            <w:pPr>
              <w:pStyle w:val="tableData"/>
              <w:jc w:val="left"/>
            </w:pPr>
            <w:r>
              <w:t xml:space="preserve">Unemployment</w:t>
            </w:r>
          </w:p>
        </w:tc>
        <w:tc>
          <w:tcPr>
            <w:tcMar>
              <w:top w:type="dxa" w:w="0"/>
              <w:left w:type="dxa" w:w="100"/>
              <w:bottom w:type="dxa" w:w="0"/>
              <w:right w:type="dxa" w:w="0"/>
            </w:tcMar>
            <w:vAlign w:val="center"/>
          </w:tcPr>
          <w:p>
            <w:pPr>
              <w:pStyle w:val="tableData"/>
              <w:jc w:val="left"/>
            </w:pPr>
            <w:r>
              <w:t xml:space="preserve">Unemployment benefit claimants (Jobseekers Allowance and out of work Universal Credit claimants)</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(Jan-2020)</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Average House Price</w:t>
            </w:r>
          </w:p>
        </w:tc>
        <w:tc>
          <w:tcPr>
            <w:tcMar>
              <w:top w:type="dxa" w:w="100"/>
              <w:left w:type="dxa" w:w="100"/>
              <w:bottom w:type="dxa" w:w="100"/>
              <w:right w:type="dxa" w:w="100"/>
            </w:tcMar>
            <w:vAlign w:val="center"/>
          </w:tcPr>
          <w:p>
            <w:pPr>
              <w:pStyle w:val="tableData"/>
              <w:shd/>
              <w:spacing w:before="200" w:after="200"/>
              <w:jc w:val="left"/>
            </w:pPr>
            <w:r>
              <w:t xml:space="preserve">UK Land Registry (Mar-2025 to Feb-2026)</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Average house price for detached houses (12 months)</w:t>
            </w:r>
          </w:p>
        </w:tc>
        <w:tc>
          <w:tcPr>
            <w:tcMar>
              <w:top w:type="dxa" w:w="100"/>
              <w:left w:type="dxa" w:w="100"/>
              <w:bottom w:type="dxa" w:w="100"/>
              <w:right w:type="dxa" w:w="100"/>
            </w:tcMar>
            <w:vAlign w:val="center"/>
          </w:tcPr>
          <w:p>
            <w:pPr>
              <w:pStyle w:val="tableData"/>
              <w:shd/>
              <w:spacing w:before="200" w:after="200"/>
              <w:jc w:val="left"/>
            </w:pPr>
            <w:r>
              <w:t xml:space="preserve">Land Registry (Mar-2025 to Feb-2026)</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Average house price for semi-detached houses (12 months)</w:t>
            </w:r>
          </w:p>
        </w:tc>
        <w:tc>
          <w:tcPr>
            <w:tcMar>
              <w:top w:type="dxa" w:w="100"/>
              <w:left w:type="dxa" w:w="100"/>
              <w:bottom w:type="dxa" w:w="100"/>
              <w:right w:type="dxa" w:w="100"/>
            </w:tcMar>
            <w:vAlign w:val="center"/>
          </w:tcPr>
          <w:p>
            <w:pPr>
              <w:pStyle w:val="tableData"/>
              <w:shd/>
              <w:spacing w:before="200" w:after="200"/>
              <w:jc w:val="left"/>
            </w:pPr>
            <w:r>
              <w:t xml:space="preserve">Land Registry (Mar-2025 to Feb-2026)</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Average house price for terraced houses (12 months)</w:t>
            </w:r>
          </w:p>
        </w:tc>
        <w:tc>
          <w:tcPr>
            <w:tcMar>
              <w:top w:type="dxa" w:w="100"/>
              <w:left w:type="dxa" w:w="100"/>
              <w:bottom w:type="dxa" w:w="100"/>
              <w:right w:type="dxa" w:w="100"/>
            </w:tcMar>
            <w:vAlign w:val="center"/>
          </w:tcPr>
          <w:p>
            <w:pPr>
              <w:pStyle w:val="tableData"/>
              <w:shd/>
              <w:spacing w:before="200" w:after="200"/>
              <w:jc w:val="left"/>
            </w:pPr>
            <w:r>
              <w:t xml:space="preserve">Land Registry (Mar-2025 to Feb-2026)</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Average house price for flats (12 months)</w:t>
            </w:r>
          </w:p>
        </w:tc>
        <w:tc>
          <w:tcPr>
            <w:tcMar>
              <w:top w:type="dxa" w:w="100"/>
              <w:left w:type="dxa" w:w="100"/>
              <w:bottom w:type="dxa" w:w="100"/>
              <w:right w:type="dxa" w:w="100"/>
            </w:tcMar>
            <w:vAlign w:val="center"/>
          </w:tcPr>
          <w:p>
            <w:pPr>
              <w:pStyle w:val="tableData"/>
              <w:shd/>
              <w:spacing w:before="200" w:after="200"/>
              <w:jc w:val="left"/>
            </w:pPr>
            <w:r>
              <w:t xml:space="preserve">Land Registry (Mar-2025 to Feb-2026)</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Housing owned outright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Housing owned with a mortgage or a loan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Housing in shared ownership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Housing rented from council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Housing rented from a Housing Association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Private rented housing: Private landlord or letting agency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Private rented: Other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Living rent free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Total crime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Anti-social behaviour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Bicycle theft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Burglary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Criminal damage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Drug crime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Other crime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Other theft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Shoplifting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Possession of weapons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Public order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Robbery recorded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Theft from the person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Vehicle crime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Violent crime and sexual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Total crime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(Dec-2010 to Nov-2011)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Personal Independence Payment (PIP)</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(Jan-2026)</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Disability benefit (DLA)</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(Nov-2025)</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Older people social care benefit (Attendance Allowance)</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(Nov-2025)</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Households on Universal Credit, Disabled Child Entitlement</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(Feb-2026)</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Households on Universal Credit - Limited Capability for Work Entitlement</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(Feb-2026)</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Day-to-Day Activities Limited a Lot</w:t>
            </w:r>
          </w:p>
        </w:tc>
        <w:tc>
          <w:tcPr>
            <w:tcMar>
              <w:top w:type="dxa" w:w="100"/>
              <w:left w:type="dxa" w:w="100"/>
              <w:bottom w:type="dxa" w:w="100"/>
              <w:right w:type="dxa" w:w="100"/>
            </w:tcMar>
            <w:vAlign w:val="center"/>
          </w:tcPr>
          <w:p>
            <w:pPr>
              <w:pStyle w:val="tableData"/>
              <w:shd/>
              <w:spacing w:before="200" w:after="200"/>
              <w:jc w:val="left"/>
            </w:pPr>
            <w:r>
              <w:t xml:space="preserve">Census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Day-to-Day Activities Limited a Little</w:t>
            </w:r>
          </w:p>
        </w:tc>
        <w:tc>
          <w:tcPr>
            <w:tcMar>
              <w:top w:type="dxa" w:w="100"/>
              <w:left w:type="dxa" w:w="100"/>
              <w:bottom w:type="dxa" w:w="100"/>
              <w:right w:type="dxa" w:w="100"/>
            </w:tcMar>
            <w:vAlign w:val="center"/>
          </w:tcPr>
          <w:p>
            <w:pPr>
              <w:pStyle w:val="tableData"/>
              <w:shd/>
              <w:spacing w:before="200" w:after="200"/>
              <w:jc w:val="left"/>
            </w:pPr>
            <w:r>
              <w:t xml:space="preserve">Census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Physical or Mental Health Condition but Day-to-Day Activities Are Not Limited</w:t>
            </w:r>
          </w:p>
        </w:tc>
        <w:tc>
          <w:tcPr>
            <w:tcMar>
              <w:top w:type="dxa" w:w="100"/>
              <w:left w:type="dxa" w:w="100"/>
              <w:bottom w:type="dxa" w:w="100"/>
              <w:right w:type="dxa" w:w="100"/>
            </w:tcMar>
            <w:vAlign w:val="center"/>
          </w:tcPr>
          <w:p>
            <w:pPr>
              <w:pStyle w:val="tableData"/>
              <w:shd/>
              <w:spacing w:before="200" w:after="200"/>
              <w:jc w:val="left"/>
            </w:pPr>
            <w:r>
              <w:t xml:space="preserve">Census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Very good health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Good health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Fair health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Bad health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Very bad health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People with no qualifications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Highest level of qualification: Level 1 qualifications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Highest level of qualification: Level 2 qualifications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Highest level of qualification: Apprenticeship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Highest level of qualification: Level 3 qualifications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Highest level of qualification: Level 4 qualifications and above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Highest level of qualification: Other qualifications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People with no qualifications (E&amp;W Census 2011)</w:t>
            </w:r>
          </w:p>
        </w:tc>
        <w:tc>
          <w:tcPr>
            <w:tcMar>
              <w:top w:type="dxa" w:w="100"/>
              <w:left w:type="dxa" w:w="100"/>
              <w:bottom w:type="dxa" w:w="100"/>
              <w:right w:type="dxa" w:w="100"/>
            </w:tcMar>
            <w:vAlign w:val="center"/>
          </w:tcPr>
          <w:p>
            <w:pPr>
              <w:pStyle w:val="tableData"/>
              <w:shd/>
              <w:spacing w:before="200" w:after="200"/>
              <w:jc w:val="left"/>
            </w:pPr>
            <w:r>
              <w:t xml:space="preserve">Census 2011 (2011)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People with no qualifications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Employment</w:t>
            </w:r>
          </w:p>
        </w:tc>
        <w:tc>
          <w:tcPr>
            <w:tcMar>
              <w:top w:type="dxa" w:w="0"/>
              <w:left w:type="dxa" w:w="100"/>
              <w:bottom w:type="dxa" w:w="0"/>
              <w:right w:type="dxa" w:w="0"/>
            </w:tcMar>
            <w:vAlign w:val="center"/>
          </w:tcPr>
          <w:p>
            <w:pPr>
              <w:pStyle w:val="tableData"/>
              <w:jc w:val="left"/>
            </w:pPr>
            <w:r>
              <w:t xml:space="preserve">Full-time employees</w:t>
            </w:r>
          </w:p>
        </w:tc>
        <w:tc>
          <w:tcPr>
            <w:tcMar>
              <w:top w:type="dxa" w:w="100"/>
              <w:left w:type="dxa" w:w="100"/>
              <w:bottom w:type="dxa" w:w="100"/>
              <w:right w:type="dxa" w:w="100"/>
            </w:tcMar>
            <w:vAlign w:val="center"/>
          </w:tcPr>
          <w:p>
            <w:pPr>
              <w:pStyle w:val="tableData"/>
              <w:shd/>
              <w:spacing w:before="200" w:after="200"/>
              <w:jc w:val="left"/>
            </w:pPr>
            <w:r>
              <w:t xml:space="preserve">Business Register and Employment Survey (BRES) (2024)</w:t>
            </w:r>
          </w:p>
        </w:tc>
      </w:tr>
      <w:tr>
        <w:trPr>
          <w:cantSplit/>
        </w:trPr>
        <w:tc>
          <w:tcPr>
            <w:tcMar>
              <w:top w:type="dxa" w:w="0"/>
              <w:left w:type="dxa" w:w="100"/>
              <w:bottom w:type="dxa" w:w="0"/>
              <w:right w:type="dxa" w:w="0"/>
            </w:tcMar>
            <w:vAlign w:val="center"/>
          </w:tcPr>
          <w:p>
            <w:pPr>
              <w:pStyle w:val="tableData"/>
              <w:jc w:val="left"/>
            </w:pPr>
            <w:r>
              <w:t xml:space="preserve">Employment</w:t>
            </w:r>
          </w:p>
        </w:tc>
        <w:tc>
          <w:tcPr>
            <w:tcMar>
              <w:top w:type="dxa" w:w="0"/>
              <w:left w:type="dxa" w:w="100"/>
              <w:bottom w:type="dxa" w:w="0"/>
              <w:right w:type="dxa" w:w="0"/>
            </w:tcMar>
            <w:vAlign w:val="center"/>
          </w:tcPr>
          <w:p>
            <w:pPr>
              <w:pStyle w:val="tableData"/>
              <w:jc w:val="left"/>
            </w:pPr>
            <w:r>
              <w:t xml:space="preserve">Part-time employees</w:t>
            </w:r>
          </w:p>
        </w:tc>
        <w:tc>
          <w:tcPr>
            <w:tcMar>
              <w:top w:type="dxa" w:w="100"/>
              <w:left w:type="dxa" w:w="100"/>
              <w:bottom w:type="dxa" w:w="100"/>
              <w:right w:type="dxa" w:w="100"/>
            </w:tcMar>
            <w:vAlign w:val="center"/>
          </w:tcPr>
          <w:p>
            <w:pPr>
              <w:pStyle w:val="tableData"/>
              <w:shd/>
              <w:spacing w:before="200" w:after="200"/>
              <w:jc w:val="left"/>
            </w:pPr>
            <w:r>
              <w:t xml:space="preserve">Business Register and Employment Survey (BRES) (2024)</w:t>
            </w:r>
          </w:p>
        </w:tc>
      </w:tr>
      <w:tr>
        <w:trPr>
          <w:cantSplit/>
        </w:trPr>
        <w:tc>
          <w:tcPr>
            <w:tcMar>
              <w:top w:type="dxa" w:w="0"/>
              <w:left w:type="dxa" w:w="100"/>
              <w:bottom w:type="dxa" w:w="0"/>
              <w:right w:type="dxa" w:w="0"/>
            </w:tcMar>
            <w:vAlign w:val="center"/>
          </w:tcPr>
          <w:p>
            <w:pPr>
              <w:pStyle w:val="tableData"/>
              <w:jc w:val="left"/>
            </w:pPr>
            <w:r>
              <w:t xml:space="preserve">Employment</w:t>
            </w:r>
          </w:p>
        </w:tc>
        <w:tc>
          <w:tcPr>
            <w:tcMar>
              <w:top w:type="dxa" w:w="0"/>
              <w:left w:type="dxa" w:w="100"/>
              <w:bottom w:type="dxa" w:w="0"/>
              <w:right w:type="dxa" w:w="0"/>
            </w:tcMar>
            <w:vAlign w:val="center"/>
          </w:tcPr>
          <w:p>
            <w:pPr>
              <w:pStyle w:val="tableData"/>
              <w:jc w:val="left"/>
            </w:pPr>
            <w:r>
              <w:t xml:space="preserve">Jobs density (jobs as a ratio of the working age population)</w:t>
            </w:r>
          </w:p>
        </w:tc>
        <w:tc>
          <w:tcPr>
            <w:tcMar>
              <w:top w:type="dxa" w:w="100"/>
              <w:left w:type="dxa" w:w="100"/>
              <w:bottom w:type="dxa" w:w="100"/>
              <w:right w:type="dxa" w:w="100"/>
            </w:tcMar>
            <w:vAlign w:val="center"/>
          </w:tcPr>
          <w:p>
            <w:pPr>
              <w:pStyle w:val="tableData"/>
              <w:shd/>
              <w:spacing w:before="200" w:after="200"/>
              <w:jc w:val="left"/>
            </w:pPr>
            <w:r>
              <w:t xml:space="preserve">Business Register and Employment Survey (BRES) (2011)</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Community Needs Index 2023: Community Needs rank</w:t>
            </w:r>
          </w:p>
        </w:tc>
        <w:tc>
          <w:tcPr>
            <w:tcMar>
              <w:top w:type="dxa" w:w="100"/>
              <w:left w:type="dxa" w:w="100"/>
              <w:bottom w:type="dxa" w:w="100"/>
              <w:right w:type="dxa" w:w="100"/>
            </w:tcMar>
            <w:vAlign w:val="center"/>
          </w:tcPr>
          <w:p>
            <w:pPr>
              <w:pStyle w:val="tableData"/>
              <w:shd/>
              <w:spacing w:before="200" w:after="200"/>
              <w:jc w:val="left"/>
            </w:pPr>
            <w:r>
              <w:t xml:space="preserve">Oxford Consultants for Social Inclusion (OCSI) (2023)</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Community Needs Index 2023: Active and Engaged Community rank</w:t>
            </w:r>
          </w:p>
        </w:tc>
        <w:tc>
          <w:tcPr>
            <w:tcMar>
              <w:top w:type="dxa" w:w="100"/>
              <w:left w:type="dxa" w:w="100"/>
              <w:bottom w:type="dxa" w:w="100"/>
              <w:right w:type="dxa" w:w="100"/>
            </w:tcMar>
            <w:vAlign w:val="center"/>
          </w:tcPr>
          <w:p>
            <w:pPr>
              <w:pStyle w:val="tableData"/>
              <w:shd/>
              <w:spacing w:before="200" w:after="200"/>
              <w:jc w:val="left"/>
            </w:pPr>
            <w:r>
              <w:t xml:space="preserve">Oxford Consultants for Social Inclusion (OCSI) (2023)</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Community Needs Index 2023: Civic Assets rank</w:t>
            </w:r>
          </w:p>
        </w:tc>
        <w:tc>
          <w:tcPr>
            <w:tcMar>
              <w:top w:type="dxa" w:w="100"/>
              <w:left w:type="dxa" w:w="100"/>
              <w:bottom w:type="dxa" w:w="100"/>
              <w:right w:type="dxa" w:w="100"/>
            </w:tcMar>
            <w:vAlign w:val="center"/>
          </w:tcPr>
          <w:p>
            <w:pPr>
              <w:pStyle w:val="tableData"/>
              <w:shd/>
              <w:spacing w:before="200" w:after="200"/>
              <w:jc w:val="left"/>
            </w:pPr>
            <w:r>
              <w:t xml:space="preserve">Oxford Consultants for Social Inclusion (OCSI) (2023)</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Community Needs Index 2023: Connectedness rank</w:t>
            </w:r>
          </w:p>
        </w:tc>
        <w:tc>
          <w:tcPr>
            <w:tcMar>
              <w:top w:type="dxa" w:w="100"/>
              <w:left w:type="dxa" w:w="100"/>
              <w:bottom w:type="dxa" w:w="100"/>
              <w:right w:type="dxa" w:w="100"/>
            </w:tcMar>
            <w:vAlign w:val="center"/>
          </w:tcPr>
          <w:p>
            <w:pPr>
              <w:pStyle w:val="tableData"/>
              <w:shd/>
              <w:spacing w:before="200" w:after="200"/>
              <w:jc w:val="left"/>
            </w:pPr>
            <w:r>
              <w:t xml:space="preserve">Oxford Consultants for Social Inclusion (OCSI) (2023)</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Nitrogen Dioxide</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Benzene</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Sulphur Dioxide</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Particulates</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Total amount awarded from all grant giving organisation types per 10,000 of population (12 month total)</w:t>
            </w:r>
          </w:p>
        </w:tc>
        <w:tc>
          <w:tcPr>
            <w:tcMar>
              <w:top w:type="dxa" w:w="100"/>
              <w:left w:type="dxa" w:w="100"/>
              <w:bottom w:type="dxa" w:w="100"/>
              <w:right w:type="dxa" w:w="100"/>
            </w:tcMar>
            <w:vAlign w:val="center"/>
          </w:tcPr>
          <w:p>
            <w:pPr>
              <w:pStyle w:val="tableData"/>
              <w:shd/>
              <w:spacing w:before="200" w:after="200"/>
              <w:jc w:val="left"/>
            </w:pPr>
            <w:r>
              <w:t xml:space="preserve">360Giving (Mar-2025 to Feb-2026)</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Total amount awarded from Lottery Distributors per 10,000 of population (12 month total)</w:t>
            </w:r>
          </w:p>
        </w:tc>
        <w:tc>
          <w:tcPr>
            <w:tcMar>
              <w:top w:type="dxa" w:w="100"/>
              <w:left w:type="dxa" w:w="100"/>
              <w:bottom w:type="dxa" w:w="100"/>
              <w:right w:type="dxa" w:w="100"/>
            </w:tcMar>
            <w:vAlign w:val="center"/>
          </w:tcPr>
          <w:p>
            <w:pPr>
              <w:pStyle w:val="tableData"/>
              <w:shd/>
              <w:spacing w:before="200" w:after="200"/>
              <w:jc w:val="left"/>
            </w:pPr>
            <w:r>
              <w:t xml:space="preserve">360Giving (Mar-2025 to Feb-2026)</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Total amount awarded from Grantmaking Organisations per 10,000 of population (12 month total)</w:t>
            </w:r>
          </w:p>
        </w:tc>
        <w:tc>
          <w:tcPr>
            <w:tcMar>
              <w:top w:type="dxa" w:w="100"/>
              <w:left w:type="dxa" w:w="100"/>
              <w:bottom w:type="dxa" w:w="100"/>
              <w:right w:type="dxa" w:w="100"/>
            </w:tcMar>
            <w:vAlign w:val="center"/>
          </w:tcPr>
          <w:p>
            <w:pPr>
              <w:pStyle w:val="tableData"/>
              <w:shd/>
              <w:spacing w:before="200" w:after="200"/>
              <w:jc w:val="left"/>
            </w:pPr>
            <w:r>
              <w:t xml:space="preserve">360Giving (Mar-2025 to Feb-2026)</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Households with no car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1 car or van in household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2 cars or vans in household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Households with 3+ cars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Households with no car  (E&amp;W Census 2011)</w:t>
            </w:r>
          </w:p>
        </w:tc>
        <w:tc>
          <w:tcPr>
            <w:tcMar>
              <w:top w:type="dxa" w:w="100"/>
              <w:left w:type="dxa" w:w="100"/>
              <w:bottom w:type="dxa" w:w="100"/>
              <w:right w:type="dxa" w:w="100"/>
            </w:tcMar>
            <w:vAlign w:val="center"/>
          </w:tcPr>
          <w:p>
            <w:pPr>
              <w:pStyle w:val="tableData"/>
              <w:shd/>
              <w:spacing w:before="200" w:after="200"/>
              <w:jc w:val="left"/>
            </w:pPr>
            <w:r>
              <w:t xml:space="preserve">Census 2011 (2011)</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Households with no car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Overall Connectivity Score</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Connectivity: Employment (overall)</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Connectivity: Education (overall)</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Connectivity: Healthcare (overall)</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Connectivity: Leisure and Community (overall)</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Connectivity: Shopping (overall)</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Connectivity: Residential (overall)</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bl>
    <w:sectPr>
      <w:footerReference w:type="default" r:id="rId18"/>
      <w:pgSz w:w="16838" w:h="11906" w:orient="landscape"/>
      <w:pgMar w:top="1270" w:right="1270" w:bottom="1270" w:left="127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right="2880"/>
      </w:pPr>
    </w:lvl>
    <w:lvl w:ilvl="1" w15:tentative="1">
      <w:start w:val="1"/>
      <w:numFmt w:val="decimal"/>
      <w:lvlText w:val="%2."/>
      <w:lvlJc w:val="start"/>
      <w:pPr>
        <w:ind w:left="431"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rFonts w:ascii="nunito" w:cs="nunito" w:eastAsia="nunito" w:hAnsi="nunito"/>
      <w:b w:val="false"/>
      <w:bCs w:val="false"/>
      <w:i w:val="false"/>
      <w:iCs w:val="false"/>
      <w:color w:val="51627C"/>
      <w:sz w:val="52"/>
      <w:szCs w:val="52"/>
    </w:rPr>
  </w:style>
  <w:style w:type="paragraph" w:styleId="heading1">
    <w:name w:val="Heading 1"/>
    <w:basedOn w:val="Normal"/>
    <w:next w:val="Normal"/>
    <w:qFormat/>
    <w:rPr>
      <w:rFonts w:ascii="nunito" w:cs="nunito" w:eastAsia="nunito" w:hAnsi="nunito"/>
      <w:b w:val="false"/>
      <w:bCs w:val="false"/>
      <w:i w:val="false"/>
      <w:iCs w:val="false"/>
      <w:color w:val="51627C"/>
      <w:sz w:val="40"/>
      <w:szCs w:val="40"/>
    </w:rPr>
  </w:style>
  <w:style w:type="paragraph" w:styleId="heading2">
    <w:name w:val="Heading 2"/>
    <w:basedOn w:val="Normal"/>
    <w:next w:val="Normal"/>
    <w:qFormat/>
    <w:rPr>
      <w:rFonts w:ascii="nunito" w:cs="nunito" w:eastAsia="nunito" w:hAnsi="nunito"/>
      <w:b w:val="false"/>
      <w:bCs w:val="false"/>
      <w:i w:val="false"/>
      <w:iCs w:val="false"/>
      <w:color w:val="51627C"/>
      <w:sz w:val="32"/>
      <w:szCs w:val="32"/>
    </w:rPr>
  </w:style>
  <w:style w:type="paragraph" w:styleId="heading3">
    <w:name w:val="Heading 3"/>
    <w:basedOn w:val="Normal"/>
    <w:next w:val="Normal"/>
    <w:qFormat/>
    <w:rPr>
      <w:rFonts w:ascii="nunito" w:cs="nunito" w:eastAsia="nunito" w:hAnsi="nunito"/>
      <w:b w:val="false"/>
      <w:bCs w:val="false"/>
      <w:i w:val="false"/>
      <w:iCs w:val="false"/>
      <w:color w:val="51627C"/>
      <w:sz w:val="28"/>
      <w:szCs w:val="28"/>
    </w:rPr>
  </w:style>
  <w:style w:type="paragraph" w:styleId="heading4">
    <w:name w:val="Heading 4"/>
    <w:basedOn w:val="Normal"/>
    <w:next w:val="Normal"/>
    <w:qFormat/>
    <w:rPr>
      <w:rFonts w:ascii="nunito" w:cs="nunito" w:eastAsia="nunito" w:hAnsi="nunito"/>
      <w:b w:val="false"/>
      <w:bCs w:val="false"/>
      <w:i w:val="false"/>
      <w:iCs w:val="false"/>
      <w:color w:val="51627C"/>
      <w:sz w:val="26"/>
      <w:szCs w:val="26"/>
    </w:rPr>
  </w:style>
  <w:style w:type="paragraph" w:styleId="heading5">
    <w:name w:val="Heading 5"/>
    <w:basedOn w:val="Normal"/>
    <w:next w:val="Normal"/>
    <w:qFormat/>
    <w:rPr>
      <w:rFonts w:ascii="nunito" w:cs="nunito" w:eastAsia="nunito" w:hAnsi="nunito"/>
      <w:b w:val="false"/>
      <w:bCs w:val="false"/>
      <w:i w:val="false"/>
      <w:iCs w:val="false"/>
      <w:color w:val="51627C"/>
      <w:sz w:val="32"/>
      <w:szCs w:val="32"/>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itle">
    <w:name w:val="Title"/>
    <w:basedOn w:val="Normal"/>
    <w:next w:val="Normal"/>
    <w:qFormat/>
    <w:pPr>
      <w:spacing w:after="240"/>
    </w:pPr>
    <w:rPr>
      <w:rFonts w:ascii="Nunito" w:cs="Nunito" w:eastAsia="Nunito" w:hAnsi="Nunito"/>
      <w:b w:val="false"/>
      <w:bCs w:val="false"/>
      <w:i w:val="false"/>
      <w:iCs w:val="false"/>
      <w:color w:val="51627C"/>
      <w:sz w:val="52"/>
      <w:szCs w:val="52"/>
    </w:rPr>
  </w:style>
  <w:style w:type="paragraph" w:styleId="Heading1">
    <w:name w:val="Heading 1"/>
    <w:basedOn w:val="Normal"/>
    <w:next w:val="Normal"/>
    <w:qFormat/>
    <w:rPr>
      <w:rFonts w:ascii="Nunito" w:cs="Nunito" w:eastAsia="Nunito" w:hAnsi="Nunito"/>
      <w:b w:val="false"/>
      <w:bCs w:val="false"/>
      <w:i w:val="false"/>
      <w:iCs w:val="false"/>
      <w:color w:val="51627C"/>
      <w:sz w:val="40"/>
      <w:szCs w:val="40"/>
    </w:rPr>
  </w:style>
  <w:style w:type="paragraph" w:styleId="Heading2">
    <w:name w:val="Heading 2"/>
    <w:basedOn w:val="Normal"/>
    <w:next w:val="Normal"/>
    <w:qFormat/>
    <w:rPr>
      <w:rFonts w:ascii="Nunito" w:cs="Nunito" w:eastAsia="Nunito" w:hAnsi="Nunito"/>
      <w:b w:val="false"/>
      <w:bCs w:val="false"/>
      <w:i w:val="false"/>
      <w:iCs w:val="false"/>
      <w:color w:val="51627C"/>
      <w:sz w:val="32"/>
      <w:szCs w:val="32"/>
    </w:rPr>
  </w:style>
  <w:style w:type="paragraph" w:styleId="Heading3">
    <w:name w:val="Heading 3"/>
    <w:basedOn w:val="Normal"/>
    <w:next w:val="Normal"/>
    <w:qFormat/>
    <w:rPr>
      <w:rFonts w:ascii="Nunito" w:cs="Nunito" w:eastAsia="Nunito" w:hAnsi="Nunito"/>
      <w:b w:val="false"/>
      <w:bCs w:val="false"/>
      <w:i w:val="false"/>
      <w:iCs w:val="false"/>
      <w:color w:val="51627C"/>
      <w:sz w:val="28"/>
      <w:szCs w:val="28"/>
    </w:rPr>
  </w:style>
  <w:style w:type="paragraph" w:styleId="Heading4">
    <w:name w:val="Heading 4"/>
    <w:basedOn w:val="Normal"/>
    <w:next w:val="Normal"/>
    <w:qFormat/>
    <w:rPr>
      <w:rFonts w:ascii="Nunito" w:cs="Nunito" w:eastAsia="Nunito" w:hAnsi="Nunito"/>
      <w:b w:val="false"/>
      <w:bCs w:val="false"/>
      <w:i w:val="false"/>
      <w:iCs w:val="false"/>
      <w:color w:val="51627C"/>
      <w:sz w:val="26"/>
      <w:szCs w:val="26"/>
    </w:rPr>
  </w:style>
  <w:style w:type="paragraph" w:styleId="Heading5">
    <w:name w:val="Heading 5"/>
    <w:basedOn w:val="Normal"/>
    <w:next w:val="Normal"/>
    <w:qFormat/>
    <w:rPr>
      <w:rFonts w:ascii="Nunito" w:cs="Nunito" w:eastAsia="Nunito" w:hAnsi="Nunito"/>
      <w:b w:val="false"/>
      <w:bCs w:val="false"/>
      <w:i w:val="false"/>
      <w:iCs w:val="false"/>
      <w:color w:val="51627C"/>
      <w:sz w:val="32"/>
      <w:szCs w:val="32"/>
    </w:rPr>
  </w:style>
  <w:style w:type="paragraph" w:styleId="subtitle">
    <w:name w:val="Subtitle"/>
    <w:rPr>
      <w:rFonts w:ascii="nunito" w:cs="nunito" w:eastAsia="nunito" w:hAnsi="nunito"/>
      <w:b w:val="false"/>
      <w:bCs w:val="false"/>
      <w:i w:val="false"/>
      <w:iCs w:val="false"/>
      <w:color w:val="51627C"/>
      <w:sz w:val="40"/>
      <w:szCs w:val="40"/>
    </w:rPr>
  </w:style>
  <w:style w:type="paragraph" w:styleId="normal">
    <w:name w:val="Normal  "/>
    <w:rPr>
      <w:rFonts w:ascii="nunito" w:cs="nunito" w:eastAsia="nunito" w:hAnsi="nunito"/>
      <w:b w:val="false"/>
      <w:bCs w:val="false"/>
      <w:i w:val="false"/>
      <w:iCs w:val="false"/>
      <w:color w:val="51627C"/>
      <w:sz w:val="40"/>
      <w:szCs w:val="40"/>
    </w:rPr>
  </w:style>
  <w:style w:type="paragraph" w:styleId="normalsml">
    <w:name w:val="Normal "/>
    <w:rPr>
      <w:rFonts w:ascii="nunito" w:cs="nunito" w:eastAsia="nunito" w:hAnsi="nunito"/>
      <w:b w:val="false"/>
      <w:bCs w:val="false"/>
      <w:i w:val="false"/>
      <w:iCs w:val="false"/>
      <w:color w:val="51627C"/>
      <w:sz w:val="26"/>
      <w:szCs w:val="26"/>
    </w:rPr>
  </w:style>
  <w:style w:type="paragraph" w:styleId="tableHeader">
    <w:name w:val="Table Header"/>
    <w:pPr>
      <w:spacing w:before="25" w:after="25"/>
    </w:pPr>
    <w:rPr>
      <w:rFonts w:ascii="nunito" w:cs="nunito" w:eastAsia="nunito" w:hAnsi="nunito"/>
      <w:b w:val="false"/>
      <w:bCs w:val="false"/>
      <w:i w:val="false"/>
      <w:iCs w:val="false"/>
      <w:color w:val="000000"/>
      <w:sz w:val="24"/>
      <w:szCs w:val="24"/>
    </w:rPr>
  </w:style>
  <w:style w:type="paragraph" w:styleId="rateAndCountHeader">
    <w:name w:val="Rate And Count Header"/>
    <w:pPr>
      <w:spacing w:before="25" w:after="25"/>
    </w:pPr>
    <w:rPr>
      <w:rFonts w:ascii="nunito" w:cs="nunito" w:eastAsia="nunito" w:hAnsi="nunito"/>
      <w:b/>
      <w:bCs/>
      <w:i w:val="false"/>
      <w:iCs w:val="false"/>
      <w:color w:val="262729"/>
      <w:sz w:val="24"/>
      <w:szCs w:val="24"/>
    </w:rPr>
  </w:style>
  <w:style w:type="paragraph" w:styleId="tableData">
    <w:name w:val="Table Data"/>
    <w:pPr>
      <w:spacing w:before="50" w:after="50"/>
    </w:pPr>
    <w:rPr>
      <w:rFonts w:ascii="nunito" w:cs="nunito" w:eastAsia="nunito" w:hAnsi="nunito"/>
      <w:b w:val="false"/>
      <w:bCs w:val="false"/>
      <w:i w:val="false"/>
      <w:iCs w:val="false"/>
      <w:color w:val="262729"/>
      <w:sz w:val="24"/>
      <w:szCs w:val="24"/>
    </w:rPr>
  </w:style>
  <w:style w:type="paragraph" w:styleId="bodyText">
    <w:name w:val="Body Text"/>
    <w:pPr>
      <w:spacing w:before="50" w:after="50"/>
    </w:pPr>
    <w:rPr>
      <w:rFonts w:ascii="nunito" w:cs="nunito" w:eastAsia="nunito" w:hAnsi="nunito"/>
      <w:b w:val="false"/>
      <w:bCs w:val="false"/>
      <w:i w:val="false"/>
      <w:iCs w:val="false"/>
      <w:color w:val="262729"/>
      <w:sz w:val="24"/>
      <w:szCs w:val="24"/>
    </w:rPr>
  </w:style>
  <w:style w:type="paragraph" w:styleId="contentsList">
    <w:name w:val="Contents List"/>
    <w:pPr>
      <w:spacing w:before="50" w:after="50"/>
    </w:pPr>
    <w:rPr>
      <w:rFonts w:ascii="nunito" w:cs="nunito" w:eastAsia="nunito" w:hAnsi="nunito"/>
      <w:b w:val="false"/>
      <w:bCs w:val="false"/>
      <w:i w:val="false"/>
      <w:iCs w:val="false"/>
      <w:color w:val="51627C"/>
      <w:sz w:val="26"/>
      <w:szCs w:val="26"/>
    </w:rPr>
  </w:style>
  <w:style w:type="paragraph" w:styleId="bullets">
    <w:name w:val="Bullet Points"/>
    <w:pPr>
      <w:spacing w:before="50" w:after="50"/>
    </w:pPr>
    <w:rPr>
      <w:rFonts w:ascii="nunito" w:cs="nunito" w:eastAsia="nunito" w:hAnsi="nunito"/>
      <w:b w:val="false"/>
      <w:bCs w:val="false"/>
      <w:i w:val="false"/>
      <w:iCs w:val="false"/>
      <w:color w:val="262729"/>
      <w:sz w:val="24"/>
      <w:szCs w:val="24"/>
    </w:rPr>
  </w:style>
  <w:style w:type="paragraph" w:styleId="footerText">
    <w:name w:val="Footer Text"/>
    <w:pPr>
      <w:spacing w:before="50" w:after="50"/>
    </w:pPr>
    <w:rPr>
      <w:rFonts w:ascii="nunito" w:cs="nunito" w:eastAsia="nunito" w:hAnsi="nunito"/>
      <w:b w:val="false"/>
      <w:bCs w:val="false"/>
      <w:i w:val="false"/>
      <w:iCs w:val="false"/>
      <w:color w:val="262729"/>
      <w:sz w:val="12"/>
      <w:szCs w:val="12"/>
    </w:rPr>
  </w:style>
  <w:style w:type="paragraph" w:styleId="tableAndGraphFooterAndHeaderText">
    <w:name w:val="Table And Graph Footer And Header Text"/>
    <w:rPr>
      <w:rFonts w:ascii="nunito" w:cs="nunito" w:eastAsia="nunito" w:hAnsi="nunito"/>
      <w:b w:val="false"/>
      <w:bCs w:val="false"/>
      <w:i w:val="false"/>
      <w:iCs w:val="false"/>
      <w:color w:val="262729"/>
      <w:sz w:val="24"/>
      <w:szCs w:val="24"/>
    </w:rPr>
  </w:style>
  <w:style w:type="paragraph" w:styleId="disclaimer">
    <w:name w:val="Disclaimer"/>
    <w:rPr>
      <w:rFonts w:ascii="nunito" w:cs="nunito" w:eastAsia="nunito" w:hAnsi="nunito"/>
      <w:color w:val="4F4F4F"/>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footer" Target="footer4.xml"/><Relationship Id="rId10" Type="http://schemas.openxmlformats.org/officeDocument/2006/relationships/footer" Target="footer5.xml"/><Relationship Id="rId11" Type="http://schemas.openxmlformats.org/officeDocument/2006/relationships/footer" Target="footer6.xml"/><Relationship Id="rId12" Type="http://schemas.openxmlformats.org/officeDocument/2006/relationships/footer" Target="footer7.xml"/><Relationship Id="rId13" Type="http://schemas.openxmlformats.org/officeDocument/2006/relationships/footer" Target="footer8.xml"/><Relationship Id="rId14" Type="http://schemas.openxmlformats.org/officeDocument/2006/relationships/footer" Target="footer9.xml"/><Relationship Id="rId15" Type="http://schemas.openxmlformats.org/officeDocument/2006/relationships/footer" Target="footer10.xml"/><Relationship Id="rId16" Type="http://schemas.openxmlformats.org/officeDocument/2006/relationships/footer" Target="footer11.xml"/><Relationship Id="rId17" Type="http://schemas.openxmlformats.org/officeDocument/2006/relationships/footer" Target="footer12.xml"/><Relationship Id="rId18" Type="http://schemas.openxmlformats.org/officeDocument/2006/relationships/footer" Target="footer13.xml"/><Relationship Id="rIdh6gdcfgwc_jb_ihc6lxwx" Type="http://schemas.openxmlformats.org/officeDocument/2006/relationships/hyperlink" Target="" TargetMode="External"/><Relationship Id="rIdo2yvoor91dlegjyqxvzoy" Type="http://schemas.openxmlformats.org/officeDocument/2006/relationships/hyperlink" Target="https://localinsight.org/?utm_source=report&amp;utm_medium=report-blurb&amp;utm_campaign=li-homepage" TargetMode="External"/><Relationship Id="rIdvrnxsqvncacx0qfmma96w" Type="http://schemas.openxmlformats.org/officeDocument/2006/relationships/hyperlink" Target="" TargetMode="External"/><Relationship Id="rId0wxqbrd4vtiwinz48ppb8" Type="http://schemas.openxmlformats.org/officeDocument/2006/relationships/hyperlink" Target="https://localinsight.org/learn-more/book-a-demo/?utm_source=report&amp;utm_medium=report-blurb&amp;utm_campaign=li-demo" TargetMode="External"/><Relationship Id="rId2qahsbhyzds_vvmspubux" Type="http://schemas.openxmlformats.org/officeDocument/2006/relationships/hyperlink" Target="" TargetMode="External"/><Relationship Id="rIdspmftenaq3dsmxaoexnpz" Type="http://schemas.openxmlformats.org/officeDocument/2006/relationships/hyperlink" Target="" TargetMode="External"/><Relationship Id="rIdlysaofiyossghtg820gkd" Type="http://schemas.openxmlformats.org/officeDocument/2006/relationships/hyperlink" Target="https://ocsi.uk/?utm_source=report&amp;utm_medium=report-blurb&amp;utm_campaign=ocsi-homepage" TargetMode="External"/><Relationship Id="rIdox98wtd2xg2pyaieednlk" Type="http://schemas.openxmlformats.org/officeDocument/2006/relationships/hyperlink" Target="" TargetMode="External"/><Relationship Id="rIdzjbrnneidedfn1imedy8y" Type="http://schemas.openxmlformats.org/officeDocument/2006/relationships/hyperlink" Target="" TargetMode="External"/><Relationship Id="rIdqadkisegpinqeyswlyzuc" Type="http://schemas.openxmlformats.org/officeDocument/2006/relationships/hyperlink" Target="" TargetMode="External"/><Relationship Id="rIdmfddnkesjrkidesnw-mit" Type="http://schemas.openxmlformats.org/officeDocument/2006/relationships/hyperlink" Target="https://localinsight.org/add-ons/bespoke-report-themes/?utm_source=report&amp;utm_medium=report-blurb&amp;utm_campaign=upgrade-bespoke-theme" TargetMode="External"/><Relationship Id="rIdnyckqxl924corfrlktbix" Type="http://schemas.openxmlformats.org/officeDocument/2006/relationships/hyperlink" Target="" TargetMode="External"/><Relationship Id="rIdryaypml1pdwdgkhnn9ce9" Type="http://schemas.openxmlformats.org/officeDocument/2006/relationships/hyperlink" Target="" TargetMode="External"/><Relationship Id="rIdp9m0hxwbacjsz7k_ldlxs" Type="http://schemas.openxmlformats.org/officeDocument/2006/relationships/hyperlink" Target="" TargetMode="External"/><Relationship Id="rId7ggfwcslrneibsgdchy2s" Type="http://schemas.openxmlformats.org/officeDocument/2006/relationships/hyperlink" Target="" TargetMode="External"/><Relationship Id="rIdqpywsdtauavyowvl98ob9" Type="http://schemas.openxmlformats.org/officeDocument/2006/relationships/hyperlink" Target="" TargetMode="External"/><Relationship Id="rIdglx-r3c14rm2hnag5hzut" Type="http://schemas.openxmlformats.org/officeDocument/2006/relationships/hyperlink" Target="" TargetMode="External"/><Relationship Id="rIdr1uawyyg37gvk1p7cyhj0" Type="http://schemas.openxmlformats.org/officeDocument/2006/relationships/hyperlink" Target="" TargetMode="External"/><Relationship Id="rIdmbloifdqi2xha7ialxo0t" Type="http://schemas.openxmlformats.org/officeDocument/2006/relationships/hyperlink" Target="" TargetMode="External"/><Relationship Id="rIdmmzvsg_n0chnfo6nun46s" Type="http://schemas.openxmlformats.org/officeDocument/2006/relationships/hyperlink" Target="" TargetMode="External"/><Relationship Id="rIdsyd6bsqlbvi9r9znn2yvx" Type="http://schemas.openxmlformats.org/officeDocument/2006/relationships/hyperlink" Target="" TargetMode="External"/><Relationship Id="rIdbkykqf6puu3fwzhd7pvxm" Type="http://schemas.openxmlformats.org/officeDocument/2006/relationships/hyperlink" Target="" TargetMode="External"/><Relationship Id="rIdzdwd-rthvp-q0d_bzuvqh" Type="http://schemas.openxmlformats.org/officeDocument/2006/relationships/hyperlink" Target="" TargetMode="External"/><Relationship Id="rIdrwvxb0akzeqxlok_fze4j" Type="http://schemas.openxmlformats.org/officeDocument/2006/relationships/hyperlink" Target="" TargetMode="External"/><Relationship Id="rId6paurysu_tzqe_5ir9_rl" Type="http://schemas.openxmlformats.org/officeDocument/2006/relationships/hyperlink" Target="" TargetMode="External"/><Relationship Id="rIdu6smoiroaqd-uufj9hwx0" Type="http://schemas.openxmlformats.org/officeDocument/2006/relationships/hyperlink" Target="" TargetMode="External"/><Relationship Id="rIdoi1x_ct9ibwdlossfimbk" Type="http://schemas.openxmlformats.org/officeDocument/2006/relationships/hyperlink" Target="" TargetMode="External"/><Relationship Id="rIdmaqbyltyvwmku67ofcaaa" Type="http://schemas.openxmlformats.org/officeDocument/2006/relationships/hyperlink" Target="" TargetMode="External"/><Relationship Id="rId-z2oev5xzofryspo1lbvu" Type="http://schemas.openxmlformats.org/officeDocument/2006/relationships/hyperlink" Target="" TargetMode="External"/><Relationship Id="rIdwghtbo1ml5m-e46t35gsx" Type="http://schemas.openxmlformats.org/officeDocument/2006/relationships/hyperlink" Target="" TargetMode="External"/><Relationship Id="rIdedehrxgjqphr0s5qfrx_n" Type="http://schemas.openxmlformats.org/officeDocument/2006/relationships/hyperlink" Target="https://www.gov.uk/government/statistical-data-sets/price-paid-data-downloads" TargetMode="External"/><Relationship Id="rIdartpe21lxjsbjl6_vg6d-" Type="http://schemas.openxmlformats.org/officeDocument/2006/relationships/hyperlink" Target="" TargetMode="External"/><Relationship Id="rIdz5frryiwkplyewrqgfse6" Type="http://schemas.openxmlformats.org/officeDocument/2006/relationships/hyperlink" Target="" TargetMode="External"/><Relationship Id="rIdc5l9wvulzxs4tbkdnagkk" Type="http://schemas.openxmlformats.org/officeDocument/2006/relationships/hyperlink" Target="" TargetMode="External"/><Relationship Id="rIddgflrppkuixuxhwqfjhir" Type="http://schemas.openxmlformats.org/officeDocument/2006/relationships/hyperlink" Target="" TargetMode="External"/><Relationship Id="rIdfa052gg1gxr2vkp4ps6px" Type="http://schemas.openxmlformats.org/officeDocument/2006/relationships/hyperlink" Target="" TargetMode="External"/><Relationship Id="rIdakyer4e-qourhtwu8mrbk" Type="http://schemas.openxmlformats.org/officeDocument/2006/relationships/hyperlink" Target="https://www.police.uk" TargetMode="External"/><Relationship Id="rIdqwo3ntbquephjgdj_wzk0" Type="http://schemas.openxmlformats.org/officeDocument/2006/relationships/hyperlink" Target="https://data.police.uk/changelog/" TargetMode="External"/><Relationship Id="rId19aofxkgait-0hymvk_lr" Type="http://schemas.openxmlformats.org/officeDocument/2006/relationships/hyperlink" Target="" TargetMode="External"/><Relationship Id="rIdfrvkgj2igdz2zhem5p3uj" Type="http://schemas.openxmlformats.org/officeDocument/2006/relationships/hyperlink" Target="" TargetMode="External"/><Relationship Id="rIdcnyec6tlt0himw43yk3v-" Type="http://schemas.openxmlformats.org/officeDocument/2006/relationships/hyperlink" Target="" TargetMode="External"/><Relationship Id="rIdbhwq98i6t9mej3oitsxlc" Type="http://schemas.openxmlformats.org/officeDocument/2006/relationships/hyperlink" Target="" TargetMode="External"/><Relationship Id="rIdh2bqweqqeuuv_22sivvvb" Type="http://schemas.openxmlformats.org/officeDocument/2006/relationships/hyperlink" Target="" TargetMode="External"/><Relationship Id="rIds5pzfqkqjzfnnny-qmd-q" Type="http://schemas.openxmlformats.org/officeDocument/2006/relationships/hyperlink" Target="" TargetMode="External"/><Relationship Id="rIdmtsjixbugnavz9csoadyf" Type="http://schemas.openxmlformats.org/officeDocument/2006/relationships/hyperlink" Target="" TargetMode="External"/><Relationship Id="rIdqk8jzpuwwfvzgfkpp1e1u" Type="http://schemas.openxmlformats.org/officeDocument/2006/relationships/hyperlink" Target="" TargetMode="External"/><Relationship Id="rId_vkvxopbjb8yzhkpooj4s" Type="http://schemas.openxmlformats.org/officeDocument/2006/relationships/hyperlink" Target="" TargetMode="External"/><Relationship Id="rIdbuddw7bzvuxxs99hzaohc" Type="http://schemas.openxmlformats.org/officeDocument/2006/relationships/hyperlink" Target="" TargetMode="External"/><Relationship Id="rIdsat89lq1wtvwahr2ppbzs" Type="http://schemas.openxmlformats.org/officeDocument/2006/relationships/hyperlink" Target="" TargetMode="External"/><Relationship Id="rIdoykehcjcvnsbvgjrq2bdx" Type="http://schemas.openxmlformats.org/officeDocument/2006/relationships/hyperlink" Target="" TargetMode="External"/><Relationship Id="rIdkrve302i7d1z_345nm3s5" Type="http://schemas.openxmlformats.org/officeDocument/2006/relationships/hyperlink" Target="" TargetMode="External"/><Relationship Id="rIdesew_1-akjxfp4ufrjzdx" Type="http://schemas.openxmlformats.org/officeDocument/2006/relationships/hyperlink" Target="" TargetMode="External"/><Relationship Id="rIdsmbp8namxvqpdnj4lhpae" Type="http://schemas.openxmlformats.org/officeDocument/2006/relationships/hyperlink" Target="" TargetMode="External"/><Relationship Id="rIduxgvtcmege5sf_qtp2rri" Type="http://schemas.openxmlformats.org/officeDocument/2006/relationships/hyperlink" Target="" TargetMode="External"/><Relationship Id="rIdzz13bzhopa8e9rkojb2z1" Type="http://schemas.openxmlformats.org/officeDocument/2006/relationships/hyperlink" Target="" TargetMode="External"/><Relationship Id="rId_pxpj38vr0zgpzom_2omc" Type="http://schemas.openxmlformats.org/officeDocument/2006/relationships/hyperlink" Target="" TargetMode="External"/><Relationship Id="rIdscmc26wsijf7wk_4p9ysr" Type="http://schemas.openxmlformats.org/officeDocument/2006/relationships/hyperlink" Target="" TargetMode="External"/><Relationship Id="rIdgt9cmzmdnncdkeqwuquuw" Type="http://schemas.openxmlformats.org/officeDocument/2006/relationships/hyperlink" Target="" TargetMode="External"/><Relationship Id="rIdg-8h9fzuokxpwm-kuq52k" Type="http://schemas.openxmlformats.org/officeDocument/2006/relationships/hyperlink" Target="" TargetMode="External"/><Relationship Id="rId-zizvlkb_iceeihmxh3px" Type="http://schemas.openxmlformats.org/officeDocument/2006/relationships/hyperlink" Target="" TargetMode="External"/><Relationship Id="rIdtz4g3vn6wgytvfdzrdvkb" Type="http://schemas.openxmlformats.org/officeDocument/2006/relationships/hyperlink" Target="" TargetMode="External"/><Relationship Id="rId03mn0f78hrgs9gngnnq5h" Type="http://schemas.openxmlformats.org/officeDocument/2006/relationships/hyperlink" Target="" TargetMode="External"/><Relationship Id="rIdeveavpn4gieiarbflpvek" Type="http://schemas.openxmlformats.org/officeDocument/2006/relationships/hyperlink" Target="" TargetMode="External"/><Relationship Id="rIdqeyoxcyu5wv1adp6jnis7" Type="http://schemas.openxmlformats.org/officeDocument/2006/relationships/hyperlink" Target="" TargetMode="External"/><Relationship Id="rIdw-xh-b5lo0pzs6eqdlexl" Type="http://schemas.openxmlformats.org/officeDocument/2006/relationships/hyperlink" Target="" TargetMode="External"/><Relationship Id="rIdeduj6gs4bri6thegz17md" Type="http://schemas.openxmlformats.org/officeDocument/2006/relationships/hyperlink" Target="" TargetMode="External"/><Relationship Id="rId0zsbpjgdf0rlemhqzpoha" Type="http://schemas.openxmlformats.org/officeDocument/2006/relationships/hyperlink" Target="" TargetMode="External"/><Relationship Id="rIdrlmykz-goemsknz5j0ye0" Type="http://schemas.openxmlformats.org/officeDocument/2006/relationships/hyperlink" Target="" TargetMode="External"/><Relationship Id="rIdsohs-omdgn7p1dww8x5pm" Type="http://schemas.openxmlformats.org/officeDocument/2006/relationships/hyperlink" Target="" TargetMode="External"/><Relationship Id="rIdjm3ytv8sblduyv0l-76bt" Type="http://schemas.openxmlformats.org/officeDocument/2006/relationships/hyperlink" Target="" TargetMode="External"/><Relationship Id="rIdmxra1hieyly72j6joqid1" Type="http://schemas.openxmlformats.org/officeDocument/2006/relationships/hyperlink" Target="" TargetMode="External"/><Relationship Id="rId86r6ujjwcgy0t8t3bloa8" Type="http://schemas.openxmlformats.org/officeDocument/2006/relationships/hyperlink" Target="" TargetMode="External"/><Relationship Id="rIdqodrz3dyhozzyuehaznqn" Type="http://schemas.openxmlformats.org/officeDocument/2006/relationships/hyperlink" Target="" TargetMode="External"/><Relationship Id="rIdsb1kotxfndl2luij4cryg" Type="http://schemas.openxmlformats.org/officeDocument/2006/relationships/hyperlink" Target="" TargetMode="External"/><Relationship Id="rIdd4rz9fccpec3wjecgkg0f" Type="http://schemas.openxmlformats.org/officeDocument/2006/relationships/hyperlink" Target="" TargetMode="External"/><Relationship Id="rIdtvnojuc2qggaylh8zwjuu" Type="http://schemas.openxmlformats.org/officeDocument/2006/relationships/hyperlink" Target="" TargetMode="External"/><Relationship Id="rId5g98x3d5c9r6n4ns99x5h" Type="http://schemas.openxmlformats.org/officeDocument/2006/relationships/hyperlink" Target="" TargetMode="External"/><Relationship Id="rIdh56jyqzvqzghv14w9sqm8" Type="http://schemas.openxmlformats.org/officeDocument/2006/relationships/hyperlink" Target="" TargetMode="External"/><Relationship Id="rIdbbzqxkgprvx6i-ccmx9l6" Type="http://schemas.openxmlformats.org/officeDocument/2006/relationships/hyperlink" Target="" TargetMode="External"/><Relationship Id="rIdyvdukya59lvg8sm5wkbq9" Type="http://schemas.openxmlformats.org/officeDocument/2006/relationships/hyperlink" Target="" TargetMode="External"/><Relationship Id="rIdyr96jy-lzsyjsstmxkhuz" Type="http://schemas.openxmlformats.org/officeDocument/2006/relationships/hyperlink" Target="" TargetMode="External"/><Relationship Id="rIdlkkjxwhz73wqbhdlodpqh" Type="http://schemas.openxmlformats.org/officeDocument/2006/relationships/hyperlink" Target="" TargetMode="External"/><Relationship Id="rId_kvre9bilpsnvukmwcdbf" Type="http://schemas.openxmlformats.org/officeDocument/2006/relationships/hyperlink" Target="" TargetMode="External"/><Relationship Id="rIdxi504xmvkm0dweqvkv7cf" Type="http://schemas.openxmlformats.org/officeDocument/2006/relationships/hyperlink" Target="" TargetMode="External"/><Relationship Id="rIdhzxxckphf1wg5bumb5kgz" Type="http://schemas.openxmlformats.org/officeDocument/2006/relationships/hyperlink" Target="" TargetMode="External"/><Relationship Id="rIdyev_1ca3ov3jwoyuckweb" Type="http://schemas.openxmlformats.org/officeDocument/2006/relationships/hyperlink" Target="" TargetMode="External"/><Relationship Id="rIdi5n-8b1n4rpjuhrolf7py" Type="http://schemas.openxmlformats.org/officeDocument/2006/relationships/hyperlink" Target="" TargetMode="External"/><Relationship Id="rIdvtw-id6rcnjxv7wky_w7u" Type="http://schemas.openxmlformats.org/officeDocument/2006/relationships/hyperlink" Target="" TargetMode="External"/><Relationship Id="rIdqi-dowcugvhu2tgo6yaux" Type="http://schemas.openxmlformats.org/officeDocument/2006/relationships/hyperlink" Target="" TargetMode="External"/><Relationship Id="rIdikb3trlvujuti2mvm7sdd" Type="http://schemas.openxmlformats.org/officeDocument/2006/relationships/hyperlink" Target="" TargetMode="External"/><Relationship Id="rIdekjmkkuzpv1pklyqryptn" Type="http://schemas.openxmlformats.org/officeDocument/2006/relationships/hyperlink" Target="" TargetMode="External"/><Relationship Id="rIdfgrpony_njjqq-uidsj2f" Type="http://schemas.openxmlformats.org/officeDocument/2006/relationships/hyperlink" Target="" TargetMode="External"/><Relationship Id="rIdxaotqyxav6u-luaw-ua6r" Type="http://schemas.openxmlformats.org/officeDocument/2006/relationships/hyperlink" Target="" TargetMode="External"/><Relationship Id="rIdzrbjvwr-xailryih6uc6_" Type="http://schemas.openxmlformats.org/officeDocument/2006/relationships/hyperlink" Target="" TargetMode="External"/><Relationship Id="rIdrjey_y-8bz0vtmpzrqjpy" Type="http://schemas.openxmlformats.org/officeDocument/2006/relationships/hyperlink" Target="" TargetMode="External"/><Relationship Id="rId19" Type="http://schemas.openxmlformats.org/officeDocument/2006/relationships/image" Target="media/f37cc79f32c116a9e2f24dedefc841420d3978dd.png"/><Relationship Id="rId20" Type="http://schemas.openxmlformats.org/officeDocument/2006/relationships/image" Target="media/2bb8b5a789322b8eb7b7f58ed3e064bebe95ce3d.png"/><Relationship Id="rId21" Type="http://schemas.openxmlformats.org/officeDocument/2006/relationships/image" Target="media/1be68cd0fc154fe9a24e95c39d3ef058c1328303.png"/><Relationship Id="rId22" Type="http://schemas.openxmlformats.org/officeDocument/2006/relationships/image" Target="media/001ca02fc9bbf722a9323c7492168f5e76b768ed.png"/><Relationship Id="rId23" Type="http://schemas.openxmlformats.org/officeDocument/2006/relationships/image" Target="media/fc761c056b1d1bdba7f844fecae06fc1b8816ead.png"/><Relationship Id="rId24" Type="http://schemas.openxmlformats.org/officeDocument/2006/relationships/image" Target="media/d473c5e8b105980630ca7bcd9f03a1afdde35ff0.png"/><Relationship Id="rId25" Type="http://schemas.openxmlformats.org/officeDocument/2006/relationships/image" Target="media/fb43a0174ffe96cf542f79a36a23fd6c21f50761.png"/><Relationship Id="rId26" Type="http://schemas.openxmlformats.org/officeDocument/2006/relationships/image" Target="media/11c70fe182d90480a618f4193fb8717642217bf1.png"/><Relationship Id="rId27" Type="http://schemas.openxmlformats.org/officeDocument/2006/relationships/image" Target="media/33e8cb477bd7fcd7793a02269728a20c0a440612.png"/><Relationship Id="rId28" Type="http://schemas.openxmlformats.org/officeDocument/2006/relationships/image" Target="media/00b2759875d7c8ee2d9ba5dc2800cb11abbb2a5d.png"/><Relationship Id="rId29" Type="http://schemas.openxmlformats.org/officeDocument/2006/relationships/image" Target="media/771dcf9af0ccee28596da1612137eb398d46f3fe.png"/><Relationship Id="rId30" Type="http://schemas.openxmlformats.org/officeDocument/2006/relationships/image" Target="media/292e671b573141bd72d1b426f6bb1af55f53a749.png"/><Relationship Id="rId31" Type="http://schemas.openxmlformats.org/officeDocument/2006/relationships/image" Target="media/b88fbbffba7489a26c21fcc4364f8531c9b82e01.png"/><Relationship Id="rId32" Type="http://schemas.openxmlformats.org/officeDocument/2006/relationships/image" Target="media/e04dd9bd5592a4b803e2c2657e226bc30a095d24.png"/><Relationship Id="rId33" Type="http://schemas.openxmlformats.org/officeDocument/2006/relationships/image" Target="media/31e3382f100f92deba67789081c0d426f6717f07.png"/><Relationship Id="rId34" Type="http://schemas.openxmlformats.org/officeDocument/2006/relationships/image" Target="media/b2bb9a8838ee95c5d3d2f3cf357d95248f565c96.png"/><Relationship Id="rId35" Type="http://schemas.openxmlformats.org/officeDocument/2006/relationships/image" Target="media/d2666455f4cf06f85179c6adaf604fb47f56fbca.png"/><Relationship Id="rId36" Type="http://schemas.openxmlformats.org/officeDocument/2006/relationships/image" Target="media/ffde80128566dbc526237d03271121e1373cf583.png"/><Relationship Id="rId37" Type="http://schemas.openxmlformats.org/officeDocument/2006/relationships/image" Target="media/4163837f91cc7e88c4150069759eae1b0df6b4bc.png"/><Relationship Id="rId38" Type="http://schemas.openxmlformats.org/officeDocument/2006/relationships/image" Target="media/304f3773ebeeea63d5f9325dad44c1cc145a4c82.png"/><Relationship Id="rId39" Type="http://schemas.openxmlformats.org/officeDocument/2006/relationships/image" Target="media/884bea33401b2885c60453ab034c045f11b9cff0.png"/><Relationship Id="rId40" Type="http://schemas.openxmlformats.org/officeDocument/2006/relationships/image" Target="media/479587ae8dad0c7b4f57377d87059df5e1744239.png"/><Relationship Id="rId136"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10.xml.rels><?xml version="1.0" encoding="UTF-8"?><Relationships xmlns="http://schemas.openxmlformats.org/package/2006/relationships"/>
</file>

<file path=word/_rels/footer11.xml.rels><?xml version="1.0" encoding="UTF-8"?><Relationships xmlns="http://schemas.openxmlformats.org/package/2006/relationships"/>
</file>

<file path=word/_rels/footer12.xml.rels><?xml version="1.0" encoding="UTF-8"?><Relationships xmlns="http://schemas.openxmlformats.org/package/2006/relationships"/>
</file>

<file path=word/_rels/footer13.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er4.xml.rels><?xml version="1.0" encoding="UTF-8"?><Relationships xmlns="http://schemas.openxmlformats.org/package/2006/relationships"/>
</file>

<file path=word/_rels/footer5.xml.rels><?xml version="1.0" encoding="UTF-8"?><Relationships xmlns="http://schemas.openxmlformats.org/package/2006/relationships"/>
</file>

<file path=word/_rels/footer6.xml.rels><?xml version="1.0" encoding="UTF-8"?><Relationships xmlns="http://schemas.openxmlformats.org/package/2006/relationships"/>
</file>

<file path=word/_rels/footer7.xml.rels><?xml version="1.0" encoding="UTF-8"?><Relationships xmlns="http://schemas.openxmlformats.org/package/2006/relationships"/>
</file>

<file path=word/_rels/footer8.xml.rels><?xml version="1.0" encoding="UTF-8"?><Relationships xmlns="http://schemas.openxmlformats.org/package/2006/relationships"/>
</file>

<file path=word/_rels/footer9.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Insight Summary Report</dc:title>
  <dc:creator>Oxford Consultants for Social Inclusion</dc:creator>
  <dc:description>Local Insight Summary Report</dc:description>
  <cp:lastModifiedBy>Un-named</cp:lastModifiedBy>
  <cp:revision>1</cp:revision>
  <dcterms:created xsi:type="dcterms:W3CDTF">2026-06-05T14:30:15.571Z</dcterms:created>
  <dcterms:modified xsi:type="dcterms:W3CDTF">2026-06-05T14:30:15.571Z</dcterms:modified>
</cp:coreProperties>
</file>

<file path=docProps/custom.xml><?xml version="1.0" encoding="utf-8"?>
<Properties xmlns="http://schemas.openxmlformats.org/officeDocument/2006/custom-properties" xmlns:vt="http://schemas.openxmlformats.org/officeDocument/2006/docPropsVTypes"/>
</file>